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CF08" w14:textId="77777777" w:rsidR="008C2D29" w:rsidRDefault="008C2D29" w:rsidP="00381FA7">
      <w:pPr>
        <w:spacing w:after="120" w:line="300" w:lineRule="atLeast"/>
        <w:ind w:left="142" w:right="374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</w:t>
      </w:r>
      <w:r w:rsidR="002D6039">
        <w:rPr>
          <w:rFonts w:ascii="Arial" w:hAnsi="Arial" w:cs="Arial"/>
          <w:b/>
          <w:bCs/>
          <w:iCs/>
          <w:sz w:val="28"/>
          <w:szCs w:val="28"/>
        </w:rPr>
        <w:t xml:space="preserve"> and “and “Dummy Chains”</w:t>
      </w:r>
    </w:p>
    <w:p w14:paraId="062F3C27" w14:textId="1B68FC4C" w:rsidR="008C2D29" w:rsidRPr="00642D1A" w:rsidRDefault="008C2D29" w:rsidP="00381F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As a supplier of babies’ dummies</w:t>
      </w:r>
      <w:r>
        <w:rPr>
          <w:rFonts w:ascii="Arial" w:hAnsi="Arial" w:cs="Arial"/>
          <w:b/>
          <w:bCs/>
          <w:iCs/>
        </w:rPr>
        <w:t xml:space="preserve"> </w:t>
      </w:r>
      <w:r w:rsidR="002D6039">
        <w:rPr>
          <w:rFonts w:ascii="Arial" w:hAnsi="Arial" w:cs="Arial"/>
          <w:b/>
          <w:bCs/>
          <w:iCs/>
        </w:rPr>
        <w:t xml:space="preserve">or dummy chains </w:t>
      </w:r>
      <w:r>
        <w:rPr>
          <w:rFonts w:ascii="Arial" w:hAnsi="Arial" w:cs="Arial"/>
          <w:b/>
          <w:bCs/>
          <w:iCs/>
        </w:rPr>
        <w:t xml:space="preserve">you must complete this form and return it to </w:t>
      </w:r>
      <w:r w:rsidR="00381FA7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to verify the products to be supplied meet the require</w:t>
      </w:r>
      <w:r w:rsidR="002D6039">
        <w:rPr>
          <w:rFonts w:ascii="Arial" w:hAnsi="Arial" w:cs="Arial"/>
          <w:b/>
          <w:bCs/>
          <w:iCs/>
        </w:rPr>
        <w:t>ments of Australia’s Mandatory S</w:t>
      </w:r>
      <w:r>
        <w:rPr>
          <w:rFonts w:ascii="Arial" w:hAnsi="Arial" w:cs="Arial"/>
          <w:b/>
          <w:bCs/>
          <w:iCs/>
        </w:rPr>
        <w:t xml:space="preserve">afety Standard.  These products will not be accepted by </w:t>
      </w:r>
      <w:r w:rsidR="00381FA7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or</w:t>
      </w:r>
      <w:r w:rsidRPr="00A33A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offered for sale on </w:t>
      </w:r>
      <w:r w:rsidR="00381FA7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websites until you have provided this verification.</w:t>
      </w:r>
    </w:p>
    <w:p w14:paraId="318F9379" w14:textId="77777777" w:rsidR="002D6039" w:rsidRDefault="008C2D29" w:rsidP="00381FA7">
      <w:pPr>
        <w:spacing w:before="120"/>
        <w:ind w:left="142" w:right="37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It is illegal to supply </w:t>
      </w:r>
      <w:r>
        <w:rPr>
          <w:rFonts w:ascii="Arial" w:hAnsi="Arial" w:cs="Arial"/>
          <w:b/>
        </w:rPr>
        <w:t>babies’ dummies</w:t>
      </w:r>
      <w:r>
        <w:rPr>
          <w:rFonts w:ascii="Arial" w:hAnsi="Arial" w:cs="Arial"/>
          <w:b/>
          <w:bCs/>
          <w:iCs/>
        </w:rPr>
        <w:t xml:space="preserve"> </w:t>
      </w:r>
      <w:r w:rsidR="002D6039">
        <w:rPr>
          <w:rFonts w:ascii="Arial" w:hAnsi="Arial" w:cs="Arial"/>
          <w:b/>
          <w:bCs/>
          <w:iCs/>
        </w:rPr>
        <w:t xml:space="preserve">or dummy chains </w:t>
      </w:r>
      <w:r>
        <w:rPr>
          <w:rFonts w:ascii="Arial" w:hAnsi="Arial" w:cs="Arial"/>
          <w:b/>
          <w:bCs/>
          <w:iCs/>
        </w:rPr>
        <w:t>that do not meet the requirements of</w:t>
      </w:r>
      <w:r w:rsidRPr="00A33A02">
        <w:rPr>
          <w:rFonts w:ascii="Arial" w:hAnsi="Arial" w:cs="Arial"/>
          <w:b/>
        </w:rPr>
        <w:t xml:space="preserve"> Australia’s mandatory standard</w:t>
      </w:r>
      <w:r w:rsidRPr="00A33A02">
        <w:rPr>
          <w:rFonts w:ascii="Arial" w:hAnsi="Arial" w:cs="Arial"/>
          <w:b/>
          <w:i/>
        </w:rPr>
        <w:t xml:space="preserve"> – </w:t>
      </w:r>
      <w:r w:rsidR="002D6039" w:rsidRPr="00A65EFA">
        <w:rPr>
          <w:rFonts w:ascii="Arial" w:hAnsi="Arial" w:cs="Arial"/>
          <w:i/>
        </w:rPr>
        <w:t>Consumer Goods (Babies’ Dummies and Dummy Chains) Safety Standard 2017</w:t>
      </w:r>
      <w:r w:rsidR="002D6039" w:rsidRPr="00F25AF1">
        <w:rPr>
          <w:rFonts w:ascii="Arial" w:hAnsi="Arial" w:cs="Arial"/>
          <w:b/>
        </w:rPr>
        <w:t xml:space="preserve"> (“</w:t>
      </w:r>
      <w:r w:rsidR="002D6039" w:rsidRPr="00A6205D">
        <w:rPr>
          <w:rFonts w:ascii="Arial" w:hAnsi="Arial" w:cs="Arial"/>
          <w:b/>
        </w:rPr>
        <w:t>the Mandatory Standard”</w:t>
      </w:r>
      <w:r w:rsidR="002D6039" w:rsidRPr="00A6205D">
        <w:rPr>
          <w:rFonts w:ascii="Arial" w:hAnsi="Arial" w:cs="Arial"/>
        </w:rPr>
        <w:t>).</w:t>
      </w:r>
      <w:r w:rsidR="002D6039" w:rsidRPr="00F25AF1">
        <w:rPr>
          <w:rFonts w:ascii="Arial" w:hAnsi="Arial" w:cs="Arial"/>
        </w:rPr>
        <w:t xml:space="preserve"> </w:t>
      </w:r>
      <w:r w:rsidR="002D6039" w:rsidRPr="00FD25F5">
        <w:rPr>
          <w:rFonts w:ascii="Arial" w:hAnsi="Arial" w:cs="Arial"/>
        </w:rPr>
        <w:t>This means:</w:t>
      </w:r>
    </w:p>
    <w:p w14:paraId="6C19663E" w14:textId="77777777" w:rsidR="002D6039" w:rsidRDefault="002D6039" w:rsidP="002D6039">
      <w:pPr>
        <w:ind w:left="142" w:right="37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18"/>
        <w:gridCol w:w="6662"/>
        <w:gridCol w:w="5811"/>
      </w:tblGrid>
      <w:tr w:rsidR="002D6039" w:rsidRPr="00BF18EA" w14:paraId="2834BE5F" w14:textId="77777777" w:rsidTr="003312B7">
        <w:tc>
          <w:tcPr>
            <w:tcW w:w="2518" w:type="dxa"/>
          </w:tcPr>
          <w:p w14:paraId="257437D6" w14:textId="77777777" w:rsidR="002D6039" w:rsidRPr="00BF18EA" w:rsidRDefault="002D6039" w:rsidP="003312B7">
            <w:pPr>
              <w:spacing w:before="120" w:after="120"/>
              <w:ind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768EC203" w14:textId="77777777" w:rsidR="002D6039" w:rsidRPr="00BF18EA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b/>
              </w:rPr>
            </w:pPr>
            <w:r w:rsidRPr="00BF18EA">
              <w:rPr>
                <w:rFonts w:ascii="Arial" w:hAnsi="Arial" w:cs="Arial"/>
                <w:b/>
              </w:rPr>
              <w:t>Baby Dummies</w:t>
            </w:r>
          </w:p>
        </w:tc>
        <w:tc>
          <w:tcPr>
            <w:tcW w:w="5811" w:type="dxa"/>
          </w:tcPr>
          <w:p w14:paraId="5DB5F2E9" w14:textId="77777777" w:rsidR="002D6039" w:rsidRPr="00BF18EA" w:rsidRDefault="002D6039" w:rsidP="003312B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F18EA">
              <w:rPr>
                <w:rFonts w:ascii="Arial" w:hAnsi="Arial" w:cs="Arial"/>
                <w:b/>
              </w:rPr>
              <w:t>Dummy Chains</w:t>
            </w:r>
          </w:p>
        </w:tc>
      </w:tr>
      <w:tr w:rsidR="002D6039" w14:paraId="094E0ED4" w14:textId="77777777" w:rsidTr="003312B7">
        <w:tc>
          <w:tcPr>
            <w:tcW w:w="2518" w:type="dxa"/>
          </w:tcPr>
          <w:p w14:paraId="0A78014E" w14:textId="77777777" w:rsidR="002D6039" w:rsidRPr="00BF18EA" w:rsidRDefault="002D6039" w:rsidP="003312B7">
            <w:pPr>
              <w:spacing w:before="120" w:after="120"/>
              <w:ind w:right="176"/>
              <w:jc w:val="both"/>
              <w:rPr>
                <w:rFonts w:ascii="Arial" w:hAnsi="Arial" w:cs="Arial"/>
                <w:b/>
              </w:rPr>
            </w:pPr>
            <w:r w:rsidRPr="00BF18EA">
              <w:rPr>
                <w:rFonts w:ascii="Arial" w:hAnsi="Arial" w:cs="Arial"/>
                <w:b/>
              </w:rPr>
              <w:t>Before 1 July 2019</w:t>
            </w:r>
          </w:p>
        </w:tc>
        <w:tc>
          <w:tcPr>
            <w:tcW w:w="6662" w:type="dxa"/>
          </w:tcPr>
          <w:p w14:paraId="38D6C90E" w14:textId="77777777" w:rsidR="002D603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Old Australian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F5529">
              <w:rPr>
                <w:rFonts w:ascii="Arial" w:hAnsi="Arial" w:cs="Arial"/>
                <w:i/>
                <w:sz w:val="22"/>
                <w:szCs w:val="22"/>
              </w:rPr>
              <w:t>AS 2432:1991 - Babies’ Dummies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(specific clauses as varied by Consumer Protection Notice No 4 of 2006) AND </w:t>
            </w:r>
            <w:r w:rsidRPr="00FF5529">
              <w:rPr>
                <w:rFonts w:ascii="Arial" w:hAnsi="Arial" w:cs="Arial"/>
                <w:i/>
                <w:sz w:val="22"/>
                <w:szCs w:val="22"/>
              </w:rPr>
              <w:t>AS 2432:2009 - Babies’ Dummies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(clauses 7.2, 7.3 and 7.4)</w:t>
            </w:r>
          </w:p>
          <w:p w14:paraId="22EBEF03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FF5529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OR</w:t>
            </w:r>
          </w:p>
          <w:p w14:paraId="503D0029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New Australian Standard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F5529">
              <w:rPr>
                <w:rFonts w:ascii="Arial" w:hAnsi="Arial" w:cs="Arial"/>
                <w:i/>
                <w:sz w:val="22"/>
                <w:szCs w:val="22"/>
              </w:rPr>
              <w:t xml:space="preserve">AS 2432:2015 - Babies’ dummies </w:t>
            </w:r>
            <w:r w:rsidRPr="00FF5529">
              <w:rPr>
                <w:rFonts w:ascii="Arial" w:hAnsi="Arial" w:cs="Arial"/>
                <w:sz w:val="22"/>
                <w:szCs w:val="22"/>
              </w:rPr>
              <w:t>(specific clauses)</w:t>
            </w:r>
          </w:p>
          <w:p w14:paraId="4F3BF5F7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5529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4A57F319" w14:textId="77777777" w:rsidR="002D6039" w:rsidRPr="005750E6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  <w:lang w:val="en-GB"/>
              </w:rPr>
              <w:t>European Standard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F5529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EN 1400:2013+A1:2014 – Child use and care article – Soothers for babies and young children – Safety requirements and test methods </w:t>
            </w:r>
            <w:r w:rsidRPr="00FF5529">
              <w:rPr>
                <w:rFonts w:ascii="Arial" w:hAnsi="Arial" w:cs="Arial"/>
                <w:iCs/>
                <w:sz w:val="22"/>
                <w:szCs w:val="22"/>
                <w:lang w:val="en-GB"/>
              </w:rPr>
              <w:t>(specific clauses)</w:t>
            </w:r>
          </w:p>
        </w:tc>
        <w:tc>
          <w:tcPr>
            <w:tcW w:w="5811" w:type="dxa"/>
          </w:tcPr>
          <w:p w14:paraId="2B15F547" w14:textId="77777777" w:rsidR="002D6039" w:rsidRDefault="002D6039" w:rsidP="003312B7">
            <w:pPr>
              <w:spacing w:before="12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The following clauses of </w:t>
            </w:r>
            <w:r w:rsidRPr="001839D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European Standard </w:t>
            </w:r>
            <w:r w:rsidRPr="001839D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  <w:t>EN 12586:2007+A1:2011 – Child use and care articles – Soother holder – Safety requirements and test methods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  <w:t>:</w:t>
            </w:r>
          </w:p>
          <w:p w14:paraId="046F6D8D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5.1.6 – Length;</w:t>
            </w:r>
          </w:p>
          <w:p w14:paraId="41CA7C03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5.2.1 – Impact resistance;</w:t>
            </w:r>
          </w:p>
          <w:p w14:paraId="10044500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5.2.2 – Durability of the garment fastener; and</w:t>
            </w:r>
          </w:p>
          <w:p w14:paraId="0ED7D689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5.2.3 – Tensile strength.</w:t>
            </w:r>
          </w:p>
        </w:tc>
      </w:tr>
      <w:tr w:rsidR="002D6039" w14:paraId="22BD11D5" w14:textId="77777777" w:rsidTr="003312B7">
        <w:tc>
          <w:tcPr>
            <w:tcW w:w="2518" w:type="dxa"/>
          </w:tcPr>
          <w:p w14:paraId="129B9251" w14:textId="77777777" w:rsidR="002D6039" w:rsidRPr="00BF18EA" w:rsidRDefault="002D6039" w:rsidP="003312B7">
            <w:pPr>
              <w:spacing w:before="120" w:after="120"/>
              <w:ind w:right="176"/>
              <w:jc w:val="both"/>
              <w:rPr>
                <w:rFonts w:ascii="Arial" w:hAnsi="Arial" w:cs="Arial"/>
                <w:b/>
              </w:rPr>
            </w:pPr>
            <w:r w:rsidRPr="00BF18EA">
              <w:rPr>
                <w:rFonts w:ascii="Arial" w:hAnsi="Arial" w:cs="Arial"/>
                <w:b/>
              </w:rPr>
              <w:t>After 1 July 2019</w:t>
            </w:r>
          </w:p>
        </w:tc>
        <w:tc>
          <w:tcPr>
            <w:tcW w:w="6662" w:type="dxa"/>
          </w:tcPr>
          <w:p w14:paraId="7548E2D9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New Australian Standard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F5529">
              <w:rPr>
                <w:rFonts w:ascii="Arial" w:hAnsi="Arial" w:cs="Arial"/>
                <w:i/>
                <w:sz w:val="22"/>
                <w:szCs w:val="22"/>
              </w:rPr>
              <w:t xml:space="preserve">AS 2432:2015 - Babies’ dummies </w:t>
            </w:r>
            <w:r w:rsidRPr="00FF5529">
              <w:rPr>
                <w:rFonts w:ascii="Arial" w:hAnsi="Arial" w:cs="Arial"/>
                <w:sz w:val="22"/>
                <w:szCs w:val="22"/>
              </w:rPr>
              <w:t>(specific clauses)</w:t>
            </w:r>
          </w:p>
          <w:p w14:paraId="08338C3B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5529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3C976E67" w14:textId="77777777" w:rsidR="002D6039" w:rsidRPr="00FF5529" w:rsidRDefault="002D6039" w:rsidP="003312B7">
            <w:pPr>
              <w:spacing w:before="120" w:after="120"/>
              <w:ind w:right="173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  <w:lang w:val="en-GB"/>
              </w:rPr>
              <w:t>European Standard</w:t>
            </w:r>
            <w:r w:rsidRPr="00FF55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F5529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EN 1400:2013+A1:2014 – Child use and care article – Soothers for babies and young children – Safety requirements and test methods </w:t>
            </w:r>
            <w:r w:rsidRPr="00FF5529">
              <w:rPr>
                <w:rFonts w:ascii="Arial" w:hAnsi="Arial" w:cs="Arial"/>
                <w:iCs/>
                <w:sz w:val="22"/>
                <w:szCs w:val="22"/>
                <w:lang w:val="en-GB"/>
              </w:rPr>
              <w:t>(specific clauses)</w:t>
            </w:r>
          </w:p>
        </w:tc>
        <w:tc>
          <w:tcPr>
            <w:tcW w:w="5811" w:type="dxa"/>
          </w:tcPr>
          <w:p w14:paraId="18733D63" w14:textId="77777777" w:rsidR="002D6039" w:rsidRDefault="002D6039" w:rsidP="003312B7">
            <w:pPr>
              <w:spacing w:before="12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The following clauses of </w:t>
            </w:r>
            <w:r w:rsidRPr="001839D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European Standard </w:t>
            </w:r>
            <w:r w:rsidRPr="001839D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  <w:t>EN 12586:2007+A1:2011 – Child use and care articles – Soother holder – Safety requirements and test methods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  <w:t>:</w:t>
            </w:r>
          </w:p>
          <w:p w14:paraId="1806BBE2" w14:textId="77777777" w:rsidR="002D6039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5.1.5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Decoration;</w:t>
            </w:r>
          </w:p>
          <w:p w14:paraId="55629A6D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5.1.6 – Length;</w:t>
            </w:r>
          </w:p>
          <w:p w14:paraId="42CB32D2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5.2.1 – Impact resistance;</w:t>
            </w:r>
          </w:p>
          <w:p w14:paraId="0869795C" w14:textId="77777777" w:rsidR="002D6039" w:rsidRPr="00A74412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5.2.2 – Durability of the garment fastener; and</w:t>
            </w:r>
          </w:p>
          <w:p w14:paraId="51617472" w14:textId="77777777" w:rsidR="002D6039" w:rsidRDefault="002D6039" w:rsidP="002D6039">
            <w:pPr>
              <w:pStyle w:val="ListParagraph"/>
              <w:numPr>
                <w:ilvl w:val="0"/>
                <w:numId w:val="5"/>
              </w:numPr>
              <w:tabs>
                <w:tab w:val="right" w:pos="1021"/>
              </w:tabs>
              <w:spacing w:before="40" w:line="260" w:lineRule="atLeast"/>
              <w:rPr>
                <w:rFonts w:ascii="Arial" w:hAnsi="Arial" w:cs="Arial"/>
              </w:rPr>
            </w:pPr>
            <w:r w:rsidRPr="00A74412">
              <w:rPr>
                <w:rFonts w:ascii="Arial" w:hAnsi="Arial" w:cs="Arial"/>
                <w:sz w:val="22"/>
                <w:szCs w:val="22"/>
              </w:rPr>
              <w:t>5.2.3 – Tensile strength.</w:t>
            </w:r>
          </w:p>
        </w:tc>
      </w:tr>
    </w:tbl>
    <w:p w14:paraId="4A61D8BE" w14:textId="77777777" w:rsidR="002D6039" w:rsidRDefault="002D6039" w:rsidP="002D6039">
      <w:pPr>
        <w:ind w:left="142" w:right="372"/>
        <w:jc w:val="both"/>
        <w:rPr>
          <w:rFonts w:ascii="Arial" w:hAnsi="Arial" w:cs="Arial"/>
        </w:rPr>
      </w:pPr>
    </w:p>
    <w:p w14:paraId="26C4CBFD" w14:textId="77777777" w:rsidR="002D6039" w:rsidRPr="00F71E3D" w:rsidRDefault="002D6039" w:rsidP="002D6039">
      <w:pPr>
        <w:ind w:left="142" w:right="37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“B</w:t>
      </w:r>
      <w:r w:rsidRPr="00F71E3D">
        <w:rPr>
          <w:rFonts w:ascii="Arial" w:hAnsi="Arial" w:cs="Arial"/>
          <w:b/>
        </w:rPr>
        <w:t>abies’ dummy</w:t>
      </w:r>
      <w:r>
        <w:rPr>
          <w:rFonts w:ascii="Arial" w:hAnsi="Arial" w:cs="Arial"/>
          <w:b/>
        </w:rPr>
        <w:t>”</w:t>
      </w:r>
      <w:r w:rsidRPr="00F71E3D">
        <w:rPr>
          <w:rFonts w:ascii="Arial" w:hAnsi="Arial" w:cs="Arial"/>
          <w:b/>
        </w:rPr>
        <w:t xml:space="preserve"> means </w:t>
      </w:r>
      <w:r w:rsidRPr="00F71E3D">
        <w:rPr>
          <w:rFonts w:ascii="Arial" w:hAnsi="Arial" w:cs="Arial"/>
        </w:rPr>
        <w:t>an article intended to satisfy the non-nutritive sucking needs of a baby, which includes a teat that the baby sucks.</w:t>
      </w:r>
      <w:r>
        <w:rPr>
          <w:rFonts w:ascii="Arial" w:hAnsi="Arial" w:cs="Arial"/>
        </w:rPr>
        <w:t xml:space="preserve">  </w:t>
      </w:r>
      <w:r w:rsidRPr="00F71E3D">
        <w:rPr>
          <w:rFonts w:ascii="Arial" w:hAnsi="Arial" w:cs="Arial"/>
        </w:rPr>
        <w:t>Note: A babies’ dummy is also known as a ‘pacifier’ or ‘soother’.</w:t>
      </w:r>
    </w:p>
    <w:p w14:paraId="66D27004" w14:textId="77777777" w:rsidR="002D6039" w:rsidRPr="00F71E3D" w:rsidRDefault="002D6039" w:rsidP="002D6039">
      <w:pPr>
        <w:ind w:left="142" w:right="372"/>
        <w:jc w:val="both"/>
        <w:rPr>
          <w:rFonts w:ascii="Arial" w:hAnsi="Arial" w:cs="Arial"/>
          <w:b/>
        </w:rPr>
      </w:pPr>
    </w:p>
    <w:p w14:paraId="322031C1" w14:textId="77777777" w:rsidR="002D6039" w:rsidRPr="00F71E3D" w:rsidRDefault="002D6039" w:rsidP="002D6039">
      <w:pPr>
        <w:ind w:left="142" w:right="37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“D</w:t>
      </w:r>
      <w:r w:rsidRPr="00F71E3D">
        <w:rPr>
          <w:rFonts w:ascii="Arial" w:hAnsi="Arial" w:cs="Arial"/>
          <w:b/>
        </w:rPr>
        <w:t>ummy chain</w:t>
      </w:r>
      <w:r>
        <w:rPr>
          <w:rFonts w:ascii="Arial" w:hAnsi="Arial" w:cs="Arial"/>
          <w:b/>
        </w:rPr>
        <w:t>”</w:t>
      </w:r>
      <w:r w:rsidRPr="00F71E3D">
        <w:rPr>
          <w:rFonts w:ascii="Arial" w:hAnsi="Arial" w:cs="Arial"/>
          <w:b/>
        </w:rPr>
        <w:t xml:space="preserve"> means </w:t>
      </w:r>
      <w:r w:rsidRPr="00F71E3D">
        <w:rPr>
          <w:rFonts w:ascii="Arial" w:hAnsi="Arial" w:cs="Arial"/>
        </w:rPr>
        <w:t>pins, ribbons, strings, cords, chains, twines, leathers, yarns or any other similar article that is designed to be attached to babies’ dummies.</w:t>
      </w:r>
    </w:p>
    <w:p w14:paraId="7D2B0C02" w14:textId="77777777" w:rsidR="00381FA7" w:rsidRDefault="00381FA7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14:paraId="18218CF6" w14:textId="646E7929" w:rsidR="002D6039" w:rsidRDefault="002D6039" w:rsidP="002D6039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 and “and “Dummy Chains”</w:t>
      </w:r>
    </w:p>
    <w:p w14:paraId="5A2976A8" w14:textId="77777777" w:rsidR="008C2D29" w:rsidRDefault="008C2D29" w:rsidP="008C2D29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03B9FB34" w14:textId="77777777" w:rsidR="008C2D29" w:rsidRPr="00521551" w:rsidRDefault="008C2D29" w:rsidP="008C2D29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521551">
        <w:rPr>
          <w:rFonts w:ascii="Arial" w:hAnsi="Arial" w:cs="Arial"/>
          <w:color w:val="FF0000"/>
        </w:rPr>
        <w:t>By completing this form you are verifying that the products</w:t>
      </w:r>
      <w:r>
        <w:rPr>
          <w:rFonts w:ascii="Arial" w:hAnsi="Arial" w:cs="Arial"/>
          <w:color w:val="FF0000"/>
        </w:rPr>
        <w:t xml:space="preserve"> identified in this form</w:t>
      </w:r>
      <w:r w:rsidRPr="00521551">
        <w:rPr>
          <w:rFonts w:ascii="Arial" w:hAnsi="Arial" w:cs="Arial"/>
          <w:color w:val="FF0000"/>
        </w:rPr>
        <w:t xml:space="preserve"> comply with the Mandatory Standard.</w:t>
      </w:r>
    </w:p>
    <w:p w14:paraId="0321D22B" w14:textId="77777777" w:rsidR="00381FA7" w:rsidRDefault="00381FA7" w:rsidP="00381FA7">
      <w:pPr>
        <w:rPr>
          <w:rFonts w:ascii="Arial" w:hAnsi="Arial" w:cs="Arial"/>
          <w:b/>
        </w:rPr>
      </w:pP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381FA7" w14:paraId="52EEED13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878FD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52AF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381FA7" w14:paraId="397DD90D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9C227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A40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381FA7" w14:paraId="550FA7E1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C8C5C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6796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381FA7" w14:paraId="73B750CB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83A07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FD5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381FA7" w14:paraId="6CA196F1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36398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B521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381FA7" w14:paraId="6B57C6FC" w14:textId="77777777" w:rsidTr="00381FA7">
        <w:trPr>
          <w:cantSplit/>
          <w:trHeight w:val="4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8813B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27AA4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381FA7" w14:paraId="12BF150B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07C" w14:textId="77777777" w:rsidR="00381FA7" w:rsidRDefault="00381FA7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9DEB" w14:textId="77777777" w:rsidR="00381FA7" w:rsidRDefault="00381FA7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381FA7" w14:paraId="3F5350AA" w14:textId="77777777" w:rsidTr="00D3599F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436" w14:textId="77777777" w:rsidR="00381FA7" w:rsidRDefault="00381FA7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74D2" w14:textId="77777777" w:rsidR="00381FA7" w:rsidRDefault="00381FA7" w:rsidP="00D3599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381FA7" w14:paraId="7A5A4A39" w14:textId="77777777" w:rsidTr="00D3599F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6252" w14:textId="77777777" w:rsidR="00381FA7" w:rsidRDefault="00381FA7" w:rsidP="00D3599F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D875" w14:textId="77777777" w:rsidR="00381FA7" w:rsidRDefault="00381FA7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ACF0" w14:textId="77777777" w:rsidR="00381FA7" w:rsidRDefault="00381FA7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4203" w14:textId="77777777" w:rsidR="00381FA7" w:rsidRDefault="00381FA7" w:rsidP="00D3599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01754C27" w14:textId="77777777" w:rsidR="008C2D29" w:rsidRDefault="008C2D29" w:rsidP="008C2D29">
      <w:pPr>
        <w:spacing w:line="300" w:lineRule="atLeast"/>
        <w:ind w:left="142" w:right="37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026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0"/>
        <w:gridCol w:w="236"/>
        <w:gridCol w:w="1720"/>
      </w:tblGrid>
      <w:tr w:rsidR="002D6039" w:rsidRPr="009F6476" w14:paraId="72AC8422" w14:textId="77777777" w:rsidTr="003312B7">
        <w:trPr>
          <w:cantSplit/>
          <w:tblHeader/>
        </w:trPr>
        <w:tc>
          <w:tcPr>
            <w:tcW w:w="13070" w:type="dxa"/>
            <w:tcBorders>
              <w:right w:val="single" w:sz="4" w:space="0" w:color="auto"/>
            </w:tcBorders>
          </w:tcPr>
          <w:p w14:paraId="0BF728A0" w14:textId="77777777" w:rsidR="002D6039" w:rsidRPr="006C402A" w:rsidRDefault="002D6039" w:rsidP="003312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 for Babies’ Dummies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BEE" w14:textId="77777777" w:rsidR="002D6039" w:rsidRPr="006C402A" w:rsidRDefault="002D6039" w:rsidP="003312B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D481DD0" w14:textId="77777777" w:rsidR="002D6039" w:rsidRPr="006C402A" w:rsidRDefault="002D6039" w:rsidP="003312B7">
            <w:pPr>
              <w:spacing w:before="60" w:after="60"/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D6039" w:rsidRPr="009F6476" w14:paraId="37132A21" w14:textId="77777777" w:rsidTr="003312B7">
        <w:trPr>
          <w:cantSplit/>
          <w:trHeight w:val="579"/>
        </w:trPr>
        <w:tc>
          <w:tcPr>
            <w:tcW w:w="13070" w:type="dxa"/>
            <w:tcBorders>
              <w:bottom w:val="nil"/>
              <w:right w:val="single" w:sz="4" w:space="0" w:color="auto"/>
            </w:tcBorders>
          </w:tcPr>
          <w:p w14:paraId="5F5608CE" w14:textId="77777777" w:rsidR="002D6039" w:rsidRPr="006C402A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Complies with Mandatory Standard –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onfirmation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product complies with the Mandatory Standard.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CBBCE" w14:textId="77777777" w:rsidR="002D6039" w:rsidRPr="006C402A" w:rsidRDefault="002D6039" w:rsidP="00331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D6FB4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05682F4F" w14:textId="77777777" w:rsidTr="003312B7">
        <w:tc>
          <w:tcPr>
            <w:tcW w:w="130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440761" w14:textId="77777777" w:rsidR="002D6039" w:rsidRPr="00E2168B" w:rsidRDefault="002D6039" w:rsidP="003312B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Test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Test report obtained</w:t>
            </w:r>
            <w:r w:rsidRPr="00D351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C1ACF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FD59BC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77D4444E" w14:textId="77777777" w:rsidTr="003312B7">
        <w:tc>
          <w:tcPr>
            <w:tcW w:w="130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EB8B0C" w14:textId="77777777" w:rsidR="002D6039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0D0D">
              <w:rPr>
                <w:rFonts w:ascii="Arial" w:hAnsi="Arial" w:cs="Arial"/>
                <w:sz w:val="22"/>
                <w:szCs w:val="22"/>
              </w:rPr>
              <w:t xml:space="preserve">provided by an independent testing facility that has accreditation for </w:t>
            </w:r>
            <w:r>
              <w:rPr>
                <w:rFonts w:ascii="Arial" w:hAnsi="Arial" w:cs="Arial"/>
                <w:sz w:val="22"/>
                <w:szCs w:val="22"/>
              </w:rPr>
              <w:t>the relevant standard</w:t>
            </w:r>
            <w:r w:rsidRPr="006D0D0D">
              <w:rPr>
                <w:rFonts w:ascii="Arial" w:hAnsi="Arial" w:cs="Arial"/>
                <w:sz w:val="22"/>
                <w:szCs w:val="22"/>
              </w:rPr>
              <w:t xml:space="preserve"> (accredited by NATA or from an overseas accrediting body recognised by NATA)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being:</w:t>
            </w:r>
          </w:p>
          <w:p w14:paraId="4F41F851" w14:textId="77777777" w:rsidR="002D6039" w:rsidRPr="00FF4681" w:rsidRDefault="002D6039" w:rsidP="002D6039">
            <w:pPr>
              <w:pStyle w:val="ListParagraph"/>
              <w:numPr>
                <w:ilvl w:val="0"/>
                <w:numId w:val="6"/>
              </w:numPr>
              <w:spacing w:before="120" w:after="120"/>
              <w:ind w:left="738" w:hanging="284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FF4681">
              <w:rPr>
                <w:rFonts w:ascii="Arial" w:hAnsi="Arial" w:cs="Arial"/>
                <w:i/>
                <w:sz w:val="22"/>
                <w:szCs w:val="22"/>
              </w:rPr>
              <w:t>AS 2432 - Babies’ dummies; or</w:t>
            </w:r>
          </w:p>
          <w:p w14:paraId="30E014AB" w14:textId="77777777" w:rsidR="002D6039" w:rsidRPr="009B00C5" w:rsidRDefault="002D6039" w:rsidP="002D6039">
            <w:pPr>
              <w:pStyle w:val="ListParagraph"/>
              <w:numPr>
                <w:ilvl w:val="0"/>
                <w:numId w:val="6"/>
              </w:numPr>
              <w:spacing w:before="120" w:after="120"/>
              <w:ind w:left="738" w:hanging="284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FF4681">
              <w:rPr>
                <w:rFonts w:ascii="Arial" w:hAnsi="Arial" w:cs="Arial"/>
                <w:i/>
                <w:sz w:val="22"/>
                <w:szCs w:val="22"/>
              </w:rPr>
              <w:t>EN 1400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:2013+A1:2014</w:t>
            </w:r>
            <w:r w:rsidRPr="00FF4681">
              <w:rPr>
                <w:rFonts w:ascii="Arial" w:hAnsi="Arial" w:cs="Arial"/>
                <w:i/>
                <w:sz w:val="22"/>
                <w:szCs w:val="22"/>
              </w:rPr>
              <w:t xml:space="preserve"> – Child use and care article – Soothers for babies and young children – Safety requirements and test methods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5A469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012423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1EAAEA7E" w14:textId="77777777" w:rsidTr="003312B7">
        <w:tc>
          <w:tcPr>
            <w:tcW w:w="130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54D4C43" w14:textId="77777777" w:rsidR="002D6039" w:rsidRPr="00C83481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and accurately identifies the exact product to be supplied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7DC9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AD3A85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258DE7CC" w14:textId="77777777" w:rsidTr="003312B7">
        <w:tc>
          <w:tcPr>
            <w:tcW w:w="1307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F2A603" w14:textId="77777777" w:rsidR="002D6039" w:rsidRPr="00FF4681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confirms the product meets all the applicable requirements of the Mandatory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A73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A95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5002511A" w14:textId="77777777" w:rsidR="002D6039" w:rsidRDefault="002D6039" w:rsidP="002D6039"/>
    <w:p w14:paraId="66B4F531" w14:textId="34AF4F31" w:rsidR="002D6039" w:rsidRDefault="002D6039" w:rsidP="002D6039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 and “and “Dummy Chains”</w:t>
      </w:r>
    </w:p>
    <w:p w14:paraId="472F5688" w14:textId="77777777" w:rsidR="002D6039" w:rsidRDefault="002D6039" w:rsidP="00C83481">
      <w:pPr>
        <w:spacing w:line="300" w:lineRule="atLeast"/>
        <w:ind w:left="142" w:right="372"/>
        <w:rPr>
          <w:rFonts w:ascii="Arial" w:hAnsi="Arial" w:cs="Arial"/>
          <w:i/>
        </w:rPr>
      </w:pPr>
    </w:p>
    <w:p w14:paraId="7E17714D" w14:textId="77777777" w:rsidR="002D6039" w:rsidRDefault="002D6039" w:rsidP="002D6039"/>
    <w:tbl>
      <w:tblPr>
        <w:tblStyle w:val="TableGrid"/>
        <w:tblW w:w="15309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543"/>
        <w:gridCol w:w="3403"/>
        <w:gridCol w:w="236"/>
        <w:gridCol w:w="1749"/>
      </w:tblGrid>
      <w:tr w:rsidR="002D6039" w:rsidRPr="009F6476" w14:paraId="740D7704" w14:textId="77777777" w:rsidTr="003312B7">
        <w:trPr>
          <w:cantSplit/>
          <w:tblHeader/>
        </w:trPr>
        <w:tc>
          <w:tcPr>
            <w:tcW w:w="13324" w:type="dxa"/>
            <w:gridSpan w:val="4"/>
            <w:tcBorders>
              <w:right w:val="single" w:sz="4" w:space="0" w:color="auto"/>
            </w:tcBorders>
          </w:tcPr>
          <w:p w14:paraId="64628544" w14:textId="77777777" w:rsidR="002D6039" w:rsidRPr="006C402A" w:rsidRDefault="002D6039" w:rsidP="003312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 for Babies’ Dummies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9EE" w14:textId="77777777" w:rsidR="002D6039" w:rsidRPr="006C402A" w:rsidRDefault="002D6039" w:rsidP="003312B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8AF9C57" w14:textId="77777777" w:rsidR="002D6039" w:rsidRPr="006C402A" w:rsidRDefault="002D6039" w:rsidP="003312B7">
            <w:pPr>
              <w:spacing w:before="60" w:after="60"/>
              <w:ind w:left="-64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D6039" w:rsidRPr="009F6476" w14:paraId="3A8B067A" w14:textId="77777777" w:rsidTr="003312B7">
        <w:trPr>
          <w:cantSplit/>
          <w:trHeight w:val="579"/>
        </w:trPr>
        <w:tc>
          <w:tcPr>
            <w:tcW w:w="13324" w:type="dxa"/>
            <w:gridSpan w:val="4"/>
            <w:tcBorders>
              <w:bottom w:val="nil"/>
              <w:right w:val="single" w:sz="4" w:space="0" w:color="auto"/>
            </w:tcBorders>
          </w:tcPr>
          <w:p w14:paraId="439BC43F" w14:textId="77777777" w:rsidR="002D6039" w:rsidRPr="006C402A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Dummy components – </w:t>
            </w:r>
            <w:r w:rsidRPr="008A2920">
              <w:rPr>
                <w:rFonts w:ascii="Arial" w:hAnsi="Arial" w:cs="Arial"/>
                <w:sz w:val="22"/>
                <w:szCs w:val="22"/>
              </w:rPr>
              <w:t>Dummy consists of a teat, shield and ring or knob.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47F06" w14:textId="77777777" w:rsidR="002D6039" w:rsidRPr="006C402A" w:rsidRDefault="002D6039" w:rsidP="00331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9F6BA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01EFA009" w14:textId="77777777" w:rsidTr="003312B7">
        <w:tc>
          <w:tcPr>
            <w:tcW w:w="13324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84460C" w14:textId="77777777" w:rsidR="002D6039" w:rsidRPr="00E2168B" w:rsidRDefault="002D6039" w:rsidP="003312B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Visual Inspection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actual product has been conducted that confirms the following.  NOTE: </w:t>
            </w:r>
            <w:r w:rsidRPr="00224528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requirements of the selected option must be met.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FF807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5AEAD3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013BB1FD" w14:textId="77777777" w:rsidTr="003312B7"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DB24A7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19FB07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A</w:t>
            </w:r>
          </w:p>
          <w:p w14:paraId="49C01CA6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Old Australian Standard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750E6">
              <w:rPr>
                <w:rFonts w:ascii="Arial" w:hAnsi="Arial" w:cs="Arial"/>
                <w:sz w:val="22"/>
                <w:szCs w:val="22"/>
              </w:rPr>
              <w:t>(not allowed after 1 July 2019)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17F5BA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B</w:t>
            </w:r>
          </w:p>
          <w:p w14:paraId="343AD037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New Australian Standard</w:t>
            </w:r>
          </w:p>
        </w:tc>
        <w:tc>
          <w:tcPr>
            <w:tcW w:w="340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529A2F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C</w:t>
            </w:r>
          </w:p>
          <w:p w14:paraId="2EF1CC80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European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F12A9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BB8DCC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50438DE9" w14:textId="77777777" w:rsidTr="003312B7"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27F972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DA6DAC">
              <w:rPr>
                <w:rFonts w:ascii="Arial" w:hAnsi="Arial" w:cs="Arial"/>
                <w:b/>
                <w:sz w:val="22"/>
                <w:szCs w:val="22"/>
              </w:rPr>
              <w:t>ack</w:t>
            </w:r>
            <w:r>
              <w:rPr>
                <w:rFonts w:ascii="Arial" w:hAnsi="Arial" w:cs="Arial"/>
                <w:b/>
                <w:sz w:val="22"/>
                <w:szCs w:val="22"/>
              </w:rPr>
              <w:t>aging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996FA5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316E">
              <w:rPr>
                <w:rFonts w:ascii="Arial" w:hAnsi="Arial" w:cs="Arial"/>
                <w:sz w:val="22"/>
                <w:szCs w:val="22"/>
              </w:rPr>
              <w:t>Dummy in a closed / sealed pack</w:t>
            </w:r>
          </w:p>
          <w:p w14:paraId="0B5CDB18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Dummy clearly visible in pack</w:t>
            </w:r>
          </w:p>
          <w:p w14:paraId="044DEC82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contain any </w:t>
            </w:r>
            <w:r w:rsidRPr="00C07AD0">
              <w:rPr>
                <w:rFonts w:ascii="Arial" w:hAnsi="Arial" w:cs="Arial"/>
                <w:sz w:val="22"/>
                <w:szCs w:val="22"/>
              </w:rPr>
              <w:t>pin, ribbon, string, cord, chain, twine, leather, yarn or any other means of attachment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76E0F6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316E">
              <w:rPr>
                <w:rFonts w:ascii="Arial" w:hAnsi="Arial" w:cs="Arial"/>
                <w:sz w:val="22"/>
                <w:szCs w:val="22"/>
              </w:rPr>
              <w:t>Dummy in a closed / sealed pack</w:t>
            </w:r>
          </w:p>
          <w:p w14:paraId="37A11DE0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Batch code on product / packaging</w:t>
            </w:r>
          </w:p>
          <w:p w14:paraId="3B03F26B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77B6C2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316E">
              <w:rPr>
                <w:rFonts w:ascii="Arial" w:hAnsi="Arial" w:cs="Arial"/>
                <w:sz w:val="22"/>
                <w:szCs w:val="22"/>
              </w:rPr>
              <w:t>Dummy in a closed / sealed pack</w:t>
            </w:r>
          </w:p>
          <w:p w14:paraId="08AAF9AF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“EN 1400:2013+A1” on packaging</w:t>
            </w:r>
          </w:p>
          <w:p w14:paraId="223973CF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-10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“Produced from natural rubber latex” (if contains natural rubber latex) on packaging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C9FBF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292A2C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71240F4E" w14:textId="77777777" w:rsidTr="003312B7"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A7F8C3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F0A60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Supplier’s details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FF37DE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ack is legibly labelled with the name and address of the Australian manufacturer or Australian </w:t>
            </w:r>
            <w:r w:rsidRPr="00BF0A60">
              <w:rPr>
                <w:rFonts w:ascii="Arial" w:hAnsi="Arial" w:cs="Arial"/>
                <w:sz w:val="22"/>
                <w:szCs w:val="22"/>
              </w:rPr>
              <w:t>distributor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0F101F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ack is legibly labelled with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  <w:p w14:paraId="76EA523F" w14:textId="77777777" w:rsidR="002D6039" w:rsidRPr="006B7198" w:rsidRDefault="002D6039" w:rsidP="002D603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6B7198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 manufactured in Australia - the name / trademark and address of the Australian manufacturer or </w:t>
            </w:r>
            <w:r w:rsidRPr="006B7198">
              <w:rPr>
                <w:rFonts w:ascii="Arial" w:hAnsi="Arial" w:cs="Arial"/>
                <w:sz w:val="22"/>
                <w:szCs w:val="22"/>
              </w:rPr>
              <w:t>distributor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; </w:t>
            </w:r>
          </w:p>
          <w:p w14:paraId="166224B0" w14:textId="77777777" w:rsidR="002D6039" w:rsidRPr="006B7198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7198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OR</w:t>
            </w:r>
          </w:p>
          <w:p w14:paraId="4E2639B2" w14:textId="77777777" w:rsidR="002D6039" w:rsidRPr="006B7198" w:rsidRDefault="002D6039" w:rsidP="002D603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17" w:right="-105" w:hanging="31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6B7198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not </w:t>
            </w:r>
            <w:r w:rsidRPr="006B7198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manufactured in Australia - the name / trademark and address of the Australian </w:t>
            </w:r>
            <w:r w:rsidRPr="006B7198">
              <w:rPr>
                <w:rFonts w:ascii="Arial" w:hAnsi="Arial" w:cs="Arial"/>
                <w:sz w:val="22"/>
                <w:szCs w:val="22"/>
              </w:rPr>
              <w:t>distributor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country of manufacture</w:t>
            </w:r>
          </w:p>
        </w:tc>
        <w:tc>
          <w:tcPr>
            <w:tcW w:w="340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B803FA0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ack is legibly labelled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with the name, trademark or other means of identification and the 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address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(and website if applicable) 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 the manufacturer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Pr="00BF0A60">
              <w:rPr>
                <w:rFonts w:ascii="Arial" w:hAnsi="Arial" w:cs="Arial"/>
                <w:sz w:val="22"/>
                <w:szCs w:val="22"/>
              </w:rPr>
              <w:t>distributor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or retailer and is visible on outside of pack</w:t>
            </w:r>
          </w:p>
          <w:p w14:paraId="7215AE6B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14225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E36846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0F6C274A" w14:textId="77777777" w:rsidR="002D6039" w:rsidRDefault="002D6039" w:rsidP="002D6039">
      <w:r>
        <w:br w:type="page"/>
      </w:r>
    </w:p>
    <w:p w14:paraId="432BF06A" w14:textId="77777777" w:rsidR="002D6039" w:rsidRDefault="002D6039" w:rsidP="002D6039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 and “and “Dummy Chains”</w:t>
      </w:r>
    </w:p>
    <w:p w14:paraId="07B2E4A2" w14:textId="77777777" w:rsidR="002D6039" w:rsidRDefault="002D6039" w:rsidP="002D6039"/>
    <w:tbl>
      <w:tblPr>
        <w:tblStyle w:val="TableGrid"/>
        <w:tblW w:w="15310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61"/>
        <w:gridCol w:w="2976"/>
        <w:gridCol w:w="5529"/>
        <w:gridCol w:w="236"/>
        <w:gridCol w:w="1749"/>
      </w:tblGrid>
      <w:tr w:rsidR="002D6039" w:rsidRPr="009F6476" w14:paraId="4B6E2B18" w14:textId="77777777" w:rsidTr="003312B7">
        <w:trPr>
          <w:cantSplit/>
          <w:tblHeader/>
        </w:trPr>
        <w:tc>
          <w:tcPr>
            <w:tcW w:w="13325" w:type="dxa"/>
            <w:gridSpan w:val="4"/>
            <w:tcBorders>
              <w:right w:val="single" w:sz="4" w:space="0" w:color="auto"/>
            </w:tcBorders>
          </w:tcPr>
          <w:p w14:paraId="74F9D152" w14:textId="77777777" w:rsidR="002D6039" w:rsidRPr="006C402A" w:rsidRDefault="002D6039" w:rsidP="003312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 for Babies’ Dummies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904" w14:textId="77777777" w:rsidR="002D6039" w:rsidRPr="006C402A" w:rsidRDefault="002D6039" w:rsidP="003312B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F81C9A" w14:textId="77777777" w:rsidR="002D6039" w:rsidRPr="006C402A" w:rsidRDefault="002D6039" w:rsidP="003312B7">
            <w:pPr>
              <w:spacing w:before="60" w:after="60"/>
              <w:ind w:left="-64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D6039" w:rsidRPr="009F6476" w14:paraId="78F23170" w14:textId="77777777" w:rsidTr="003312B7">
        <w:trPr>
          <w:cantSplit/>
          <w:trHeight w:val="847"/>
        </w:trPr>
        <w:tc>
          <w:tcPr>
            <w:tcW w:w="13325" w:type="dxa"/>
            <w:gridSpan w:val="4"/>
            <w:tcBorders>
              <w:right w:val="single" w:sz="4" w:space="0" w:color="auto"/>
            </w:tcBorders>
          </w:tcPr>
          <w:p w14:paraId="5C7807F7" w14:textId="77777777" w:rsidR="002D6039" w:rsidRPr="006C402A" w:rsidRDefault="002D6039" w:rsidP="003312B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Visual Inspection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actual product has been conducted that confirms the following.  NOTE: </w:t>
            </w:r>
            <w:r w:rsidRPr="00224528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requirements of the selected option must be met.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7D2E" w14:textId="77777777" w:rsidR="002D6039" w:rsidRPr="006C402A" w:rsidRDefault="002D6039" w:rsidP="00331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68CF725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51F87B63" w14:textId="77777777" w:rsidTr="003312B7"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5F7E36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79C671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A</w:t>
            </w:r>
          </w:p>
          <w:p w14:paraId="4ABEBB63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Old Australian Standard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750E6">
              <w:rPr>
                <w:rFonts w:ascii="Arial" w:hAnsi="Arial" w:cs="Arial"/>
                <w:sz w:val="22"/>
                <w:szCs w:val="22"/>
              </w:rPr>
              <w:t>(not allowed after 1 July 2019)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2792BE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B</w:t>
            </w:r>
          </w:p>
          <w:p w14:paraId="13354B55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New Australian Standard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97BA37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C</w:t>
            </w:r>
          </w:p>
          <w:p w14:paraId="1DCFD4FB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European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A648B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600DA5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66300984" w14:textId="77777777" w:rsidTr="003312B7"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A255F6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F0A60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Instructions</w:t>
            </w:r>
          </w:p>
        </w:tc>
        <w:tc>
          <w:tcPr>
            <w:tcW w:w="326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C8A5C5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ncludes clearly legible instructions for use and hygienic care</w:t>
            </w: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8C4386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ncludes clearly legible instructions for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treatment before first use and normal 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use and hygienic care</w:t>
            </w:r>
          </w:p>
        </w:tc>
        <w:tc>
          <w:tcPr>
            <w:tcW w:w="552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070DB2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BF0A6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ncludes clearly legible instructions for use and hygienic care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including:</w:t>
            </w:r>
          </w:p>
          <w:p w14:paraId="7FA55155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21" w:right="-102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safe </w:t>
            </w:r>
            <w:r w:rsidRPr="00E5658B">
              <w:rPr>
                <w:rFonts w:ascii="Arial" w:hAnsi="Arial" w:cs="Arial"/>
                <w:sz w:val="22"/>
                <w:szCs w:val="22"/>
              </w:rPr>
              <w:t>use;</w:t>
            </w:r>
          </w:p>
          <w:p w14:paraId="042E2AC2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21" w:right="-102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658B">
              <w:rPr>
                <w:rFonts w:ascii="Arial" w:hAnsi="Arial" w:cs="Arial"/>
                <w:sz w:val="22"/>
                <w:szCs w:val="22"/>
              </w:rPr>
              <w:t>at least one method of cleaning;</w:t>
            </w:r>
          </w:p>
          <w:p w14:paraId="7A2B1822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21" w:right="-102" w:hanging="28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5658B">
              <w:rPr>
                <w:rFonts w:ascii="Arial" w:hAnsi="Arial" w:cs="Arial"/>
                <w:sz w:val="22"/>
                <w:szCs w:val="22"/>
              </w:rPr>
              <w:t>unsuitable common methods of cleaning</w:t>
            </w:r>
            <w:r w:rsidRPr="00E5658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, storage and use which might damage the soother;</w:t>
            </w:r>
          </w:p>
          <w:p w14:paraId="6249D160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21" w:right="-102" w:hanging="284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>Before first use, place the soother in boiling water for 5 min, allow to cool, and squeeze out any trapped water from the soother. This is to ensure hygiene.</w:t>
            </w:r>
          </w:p>
          <w:p w14:paraId="44F247FC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21" w:right="-102" w:hanging="284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>Clean before every use.</w:t>
            </w:r>
          </w:p>
          <w:p w14:paraId="1DC06EE8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21" w:right="-102" w:hanging="284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>Never dip the teat in sweet substances or medication, your child may get tooth decay.</w:t>
            </w:r>
          </w:p>
          <w:p w14:paraId="7A6B8462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21" w:right="-102" w:hanging="284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>Replace the soother between one and two months of use, for safety and hygiene reasons.</w:t>
            </w:r>
          </w:p>
          <w:p w14:paraId="09C29618" w14:textId="77777777" w:rsidR="002D6039" w:rsidRPr="00E5658B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after="120" w:line="260" w:lineRule="atLeast"/>
              <w:ind w:left="324" w:right="-102" w:hanging="284"/>
              <w:contextualSpacing w:val="0"/>
              <w:rPr>
                <w:rFonts w:ascii="Arial" w:hAnsi="Arial" w:cs="Arial"/>
                <w:color w:val="000000"/>
              </w:rPr>
            </w:pP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 xml:space="preserve">In the event that the soother becomes lodged in the mouth, </w:t>
            </w:r>
            <w:r w:rsidRPr="00E565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DO NOT PANIC</w:t>
            </w:r>
            <w:r w:rsidRPr="00E5658B">
              <w:rPr>
                <w:rFonts w:ascii="Arial" w:hAnsi="Arial" w:cs="Arial"/>
                <w:color w:val="000000"/>
                <w:sz w:val="22"/>
                <w:szCs w:val="22"/>
              </w:rPr>
              <w:t>; it cannot be swallowed</w:t>
            </w:r>
            <w:r>
              <w:rPr>
                <w:rFonts w:ascii="Arial" w:hAnsi="Arial" w:cs="Arial"/>
                <w:color w:val="000000"/>
              </w:rPr>
              <w:t xml:space="preserve"> and is designed to cope with such an event. Remove from the mouth with care, as gently as possible.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F2E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DA1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5BE9F75A" w14:textId="77777777" w:rsidR="002D6039" w:rsidRDefault="002D6039" w:rsidP="002D6039"/>
    <w:p w14:paraId="39C30ED6" w14:textId="77777777" w:rsidR="002D6039" w:rsidRDefault="002D6039" w:rsidP="002D6039"/>
    <w:p w14:paraId="0B1D0B1A" w14:textId="77777777" w:rsidR="002D6039" w:rsidRDefault="002D6039" w:rsidP="002D6039">
      <w:r>
        <w:br w:type="page"/>
      </w:r>
    </w:p>
    <w:p w14:paraId="743F9260" w14:textId="77777777" w:rsidR="002D6039" w:rsidRDefault="002D6039" w:rsidP="002D6039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 and “and “Dummy Chains”</w:t>
      </w:r>
    </w:p>
    <w:p w14:paraId="45DF53FA" w14:textId="77777777" w:rsidR="002D6039" w:rsidRDefault="002D6039" w:rsidP="002D6039"/>
    <w:tbl>
      <w:tblPr>
        <w:tblStyle w:val="TableGrid"/>
        <w:tblW w:w="15310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44"/>
        <w:gridCol w:w="4111"/>
        <w:gridCol w:w="3828"/>
        <w:gridCol w:w="236"/>
        <w:gridCol w:w="1749"/>
      </w:tblGrid>
      <w:tr w:rsidR="002D6039" w:rsidRPr="009F6476" w14:paraId="70A59369" w14:textId="77777777" w:rsidTr="003312B7">
        <w:trPr>
          <w:cantSplit/>
          <w:tblHeader/>
        </w:trPr>
        <w:tc>
          <w:tcPr>
            <w:tcW w:w="13325" w:type="dxa"/>
            <w:gridSpan w:val="4"/>
            <w:tcBorders>
              <w:right w:val="single" w:sz="4" w:space="0" w:color="auto"/>
            </w:tcBorders>
          </w:tcPr>
          <w:p w14:paraId="23A57544" w14:textId="77777777" w:rsidR="002D6039" w:rsidRPr="006C402A" w:rsidRDefault="002D6039" w:rsidP="003312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 for Baby’s Dummies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435" w14:textId="77777777" w:rsidR="002D6039" w:rsidRPr="006C402A" w:rsidRDefault="002D6039" w:rsidP="003312B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7610910" w14:textId="77777777" w:rsidR="002D6039" w:rsidRPr="006C402A" w:rsidRDefault="002D6039" w:rsidP="003312B7">
            <w:pPr>
              <w:spacing w:before="60" w:after="60"/>
              <w:ind w:left="-64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D6039" w:rsidRPr="009F6476" w14:paraId="4840F19F" w14:textId="77777777" w:rsidTr="003312B7">
        <w:trPr>
          <w:cantSplit/>
          <w:trHeight w:val="847"/>
        </w:trPr>
        <w:tc>
          <w:tcPr>
            <w:tcW w:w="13325" w:type="dxa"/>
            <w:gridSpan w:val="4"/>
            <w:tcBorders>
              <w:right w:val="single" w:sz="4" w:space="0" w:color="auto"/>
            </w:tcBorders>
          </w:tcPr>
          <w:p w14:paraId="1B1512DD" w14:textId="77777777" w:rsidR="002D6039" w:rsidRPr="006C402A" w:rsidRDefault="002D6039" w:rsidP="003312B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Visual Inspection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actual product has been conducted that confirms the following.  NOTE: </w:t>
            </w:r>
            <w:r w:rsidRPr="00224528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requirements of the selected option must be met.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7B89" w14:textId="77777777" w:rsidR="002D6039" w:rsidRPr="006C402A" w:rsidRDefault="002D6039" w:rsidP="00331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C6CE2AE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3A0B9AB4" w14:textId="77777777" w:rsidTr="003312B7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823461" w14:textId="77777777" w:rsidR="002D6039" w:rsidRPr="00DA6DAC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206259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A</w:t>
            </w:r>
          </w:p>
          <w:p w14:paraId="4969ECF0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Old Australian Standard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750E6">
              <w:rPr>
                <w:rFonts w:ascii="Arial" w:hAnsi="Arial" w:cs="Arial"/>
                <w:sz w:val="22"/>
                <w:szCs w:val="22"/>
              </w:rPr>
              <w:t>(not allowed after 1 July 2019)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B38FA5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B</w:t>
            </w:r>
          </w:p>
          <w:p w14:paraId="269AB2B1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New Australian Standard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7C5EC9F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Option C</w:t>
            </w:r>
          </w:p>
          <w:p w14:paraId="1F134BB5" w14:textId="77777777" w:rsidR="002D6039" w:rsidRPr="005750E6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50E6">
              <w:rPr>
                <w:rFonts w:ascii="Arial" w:hAnsi="Arial" w:cs="Arial"/>
                <w:b/>
                <w:sz w:val="22"/>
                <w:szCs w:val="22"/>
              </w:rPr>
              <w:t>European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C1E38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301E69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F452CF" w14:paraId="57660B51" w14:textId="77777777" w:rsidTr="003312B7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3ACF45" w14:textId="77777777" w:rsidR="002D6039" w:rsidRPr="00F452CF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b/>
                <w:sz w:val="22"/>
                <w:szCs w:val="22"/>
              </w:rPr>
              <w:t>Warning Notice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2E68C6" w14:textId="77777777" w:rsidR="002D6039" w:rsidRPr="00F452CF" w:rsidRDefault="002D6039" w:rsidP="003312B7">
            <w:pPr>
              <w:tabs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452C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The pack has a clear and legible warning notice which includes the following words or </w:t>
            </w:r>
            <w:r w:rsidRPr="00F452CF">
              <w:rPr>
                <w:rFonts w:ascii="Arial" w:hAnsi="Arial" w:cs="Arial"/>
                <w:sz w:val="22"/>
                <w:szCs w:val="22"/>
              </w:rPr>
              <w:t>words</w:t>
            </w:r>
            <w:r w:rsidRPr="00F452C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that have the same meaning (note: the word ‘PACIFIER’ or ‘SOOTHER’ may be substituted for the word ‘DUMMY’):</w:t>
            </w:r>
          </w:p>
          <w:p w14:paraId="2876648C" w14:textId="77777777" w:rsidR="002D6039" w:rsidRPr="00F452CF" w:rsidRDefault="002D6039" w:rsidP="0033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52C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WARNING</w:t>
            </w:r>
          </w:p>
          <w:p w14:paraId="60FC28FF" w14:textId="77777777" w:rsidR="002D6039" w:rsidRPr="00F452CF" w:rsidRDefault="002D6039" w:rsidP="0033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DO NOT TIE DUMMY AROUND BABY’S NECK AS IT PRESENTS A STRANGULATION HAZARD.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4BDAC2F" w14:textId="77777777" w:rsidR="002D6039" w:rsidRPr="00F452CF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sz w:val="22"/>
                <w:szCs w:val="22"/>
              </w:rPr>
              <w:t>The pack or leaflet supplied with the product states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834FFB" w14:textId="77777777" w:rsidR="002D6039" w:rsidRPr="00F452CF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452CF">
              <w:rPr>
                <w:rFonts w:ascii="Arial" w:hAnsi="Arial" w:cs="Arial"/>
                <w:b/>
                <w:sz w:val="22"/>
                <w:szCs w:val="22"/>
              </w:rPr>
              <w:t>WARNING</w:t>
            </w:r>
          </w:p>
          <w:p w14:paraId="37A01FE8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sz w:val="22"/>
                <w:szCs w:val="22"/>
              </w:rPr>
              <w:t xml:space="preserve">A torn or broken dummy poses a choking hazard. Inspect carefully before each use. Pull the teat in all directions. Throw away at the first sign of damage or weakness. </w:t>
            </w:r>
          </w:p>
          <w:p w14:paraId="14F4EB50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sz w:val="22"/>
                <w:szCs w:val="22"/>
              </w:rPr>
              <w:t>A cord or ribbon attached to a dummy poses a strangulation hazard. Do not attach a dummy to your child’s clothing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F42259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D67258" w14:textId="77777777" w:rsidR="002D6039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Notes:</w:t>
            </w:r>
          </w:p>
          <w:p w14:paraId="4FED74C8" w14:textId="77777777" w:rsidR="002D6039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15" w:right="-102" w:hanging="27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the word ‘PACIFIER’ or ‘SOOTHER’ may be substituted for the word ‘DUMMY’)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A5FC30" w14:textId="77777777" w:rsidR="002D6039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line="260" w:lineRule="atLeast"/>
              <w:ind w:left="315" w:right="-102" w:hanging="27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letters are at least 2.5mm high</w:t>
            </w:r>
          </w:p>
          <w:p w14:paraId="71C8ADFA" w14:textId="77777777" w:rsidR="002D6039" w:rsidRPr="009F748A" w:rsidRDefault="002D6039" w:rsidP="002D60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after="120" w:line="260" w:lineRule="atLeast"/>
              <w:ind w:left="318" w:right="-102" w:hanging="27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 ‘WARNING’ is bold on a spate line.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C74948" w14:textId="77777777" w:rsidR="002D6039" w:rsidRPr="00F452CF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2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2CF">
              <w:rPr>
                <w:rFonts w:ascii="Arial" w:hAnsi="Arial" w:cs="Arial"/>
                <w:sz w:val="22"/>
                <w:szCs w:val="22"/>
              </w:rPr>
              <w:t>The pack or leaflet supplied with the product states:</w:t>
            </w:r>
          </w:p>
          <w:p w14:paraId="0A531392" w14:textId="77777777" w:rsidR="002D6039" w:rsidRPr="008857E8" w:rsidRDefault="002D6039" w:rsidP="003312B7">
            <w:pPr>
              <w:shd w:val="clear" w:color="auto" w:fill="FFFFFF"/>
              <w:spacing w:before="240" w:line="260" w:lineRule="atLeast"/>
              <w:ind w:left="35" w:right="27"/>
              <w:rPr>
                <w:rFonts w:ascii="Arial" w:hAnsi="Arial" w:cs="Arial"/>
                <w:b/>
                <w:color w:val="000000"/>
              </w:rPr>
            </w:pPr>
            <w:r w:rsidRPr="008857E8">
              <w:rPr>
                <w:rFonts w:ascii="Arial" w:hAnsi="Arial" w:cs="Arial"/>
                <w:b/>
                <w:color w:val="000000"/>
              </w:rPr>
              <w:t>For your child’s safety</w:t>
            </w:r>
          </w:p>
          <w:p w14:paraId="3022754C" w14:textId="77777777" w:rsidR="002D6039" w:rsidRPr="008857E8" w:rsidRDefault="002D6039" w:rsidP="003312B7">
            <w:pPr>
              <w:shd w:val="clear" w:color="auto" w:fill="FFFFFF"/>
              <w:spacing w:before="240" w:line="260" w:lineRule="atLeast"/>
              <w:ind w:left="35" w:right="27"/>
              <w:rPr>
                <w:rFonts w:ascii="Arial" w:hAnsi="Arial" w:cs="Arial"/>
                <w:b/>
                <w:color w:val="000000"/>
              </w:rPr>
            </w:pPr>
            <w:r w:rsidRPr="008857E8">
              <w:rPr>
                <w:rFonts w:ascii="Arial" w:hAnsi="Arial" w:cs="Arial"/>
                <w:b/>
                <w:color w:val="000000"/>
              </w:rPr>
              <w:t>WARNING!</w:t>
            </w:r>
          </w:p>
          <w:p w14:paraId="34FAB35C" w14:textId="77777777" w:rsidR="002D6039" w:rsidRDefault="002D6039" w:rsidP="003312B7">
            <w:pPr>
              <w:shd w:val="clear" w:color="auto" w:fill="FFFFFF"/>
              <w:spacing w:before="240" w:line="260" w:lineRule="atLeast"/>
              <w:ind w:left="35" w:right="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Inspect carefully before each use. Pull the soother in all directions. Throw away at the first signs of damage or weakness.</w:t>
            </w:r>
          </w:p>
          <w:p w14:paraId="10BFA698" w14:textId="77777777" w:rsidR="002D6039" w:rsidRDefault="002D6039" w:rsidP="003312B7">
            <w:pPr>
              <w:shd w:val="clear" w:color="auto" w:fill="FFFFFF"/>
              <w:spacing w:before="240" w:line="260" w:lineRule="atLeast"/>
              <w:ind w:left="35" w:right="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Only use dedicated soother holders tested to EN 12586. Never attach ribbons or cords to a soother, your child may be strangled by them.</w:t>
            </w:r>
          </w:p>
          <w:p w14:paraId="2366C45A" w14:textId="77777777" w:rsidR="002D6039" w:rsidRPr="00F452CF" w:rsidRDefault="002D6039" w:rsidP="003312B7">
            <w:pPr>
              <w:overflowPunct w:val="0"/>
              <w:autoSpaceDE w:val="0"/>
              <w:autoSpaceDN w:val="0"/>
              <w:adjustRightInd w:val="0"/>
              <w:spacing w:before="120" w:after="120"/>
              <w:ind w:left="6" w:right="2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76DD6" w14:textId="77777777" w:rsidR="002D6039" w:rsidRPr="00F452CF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8D8CF9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0DE6F94A" w14:textId="77777777" w:rsidTr="003312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25" w:type="dxa"/>
            <w:gridSpan w:val="4"/>
          </w:tcPr>
          <w:p w14:paraId="00CCFA9F" w14:textId="77777777" w:rsidR="002D6039" w:rsidRPr="00E23217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Decoration, prints, decals and labels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 visual inspection of the actual product confirms:</w:t>
            </w:r>
          </w:p>
          <w:p w14:paraId="52B75138" w14:textId="77777777" w:rsidR="002D6039" w:rsidRPr="006626BD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printing on the sucking side of the shield (laser etched batch coding is permitted).</w:t>
            </w:r>
            <w:r w:rsidRPr="006626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B3B8AB" w14:textId="77777777" w:rsidR="002D6039" w:rsidRPr="00DB2102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decals or labels attached to any part of the dummy by adhesive.</w:t>
            </w:r>
          </w:p>
        </w:tc>
        <w:tc>
          <w:tcPr>
            <w:tcW w:w="236" w:type="dxa"/>
          </w:tcPr>
          <w:p w14:paraId="52C06FEE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B92E84F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70F65682" w14:textId="77777777" w:rsidR="002D6039" w:rsidRDefault="002D6039" w:rsidP="002D6039"/>
    <w:p w14:paraId="3561B622" w14:textId="77777777" w:rsidR="002D6039" w:rsidRDefault="002D6039" w:rsidP="002D6039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“Babies’ Dummies” and “and “Dummy Chains”</w:t>
      </w:r>
    </w:p>
    <w:p w14:paraId="00950867" w14:textId="77777777" w:rsidR="002D6039" w:rsidRDefault="002D6039" w:rsidP="002D6039"/>
    <w:tbl>
      <w:tblPr>
        <w:tblStyle w:val="TableGrid"/>
        <w:tblW w:w="15027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1"/>
        <w:gridCol w:w="236"/>
        <w:gridCol w:w="1750"/>
      </w:tblGrid>
      <w:tr w:rsidR="002D6039" w:rsidRPr="009F6476" w14:paraId="1A904B49" w14:textId="77777777" w:rsidTr="003312B7">
        <w:trPr>
          <w:cantSplit/>
          <w:tblHeader/>
        </w:trPr>
        <w:tc>
          <w:tcPr>
            <w:tcW w:w="13041" w:type="dxa"/>
            <w:tcBorders>
              <w:right w:val="single" w:sz="4" w:space="0" w:color="auto"/>
            </w:tcBorders>
          </w:tcPr>
          <w:p w14:paraId="707006EB" w14:textId="77777777" w:rsidR="002D6039" w:rsidRPr="006C402A" w:rsidRDefault="002D6039" w:rsidP="003312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Requirements for Dummy Chains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BB9" w14:textId="77777777" w:rsidR="002D6039" w:rsidRPr="006C402A" w:rsidRDefault="002D6039" w:rsidP="003312B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1F4B16" w14:textId="77777777" w:rsidR="002D6039" w:rsidRPr="006C402A" w:rsidRDefault="002D6039" w:rsidP="003312B7">
            <w:pPr>
              <w:spacing w:before="60" w:after="60"/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2D6039" w:rsidRPr="009F6476" w14:paraId="11A972C5" w14:textId="77777777" w:rsidTr="003312B7">
        <w:trPr>
          <w:cantSplit/>
          <w:trHeight w:val="579"/>
        </w:trPr>
        <w:tc>
          <w:tcPr>
            <w:tcW w:w="13041" w:type="dxa"/>
            <w:tcBorders>
              <w:bottom w:val="nil"/>
              <w:right w:val="single" w:sz="4" w:space="0" w:color="auto"/>
            </w:tcBorders>
          </w:tcPr>
          <w:p w14:paraId="2CA4DD27" w14:textId="77777777" w:rsidR="002D6039" w:rsidRPr="006C402A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2168B">
              <w:rPr>
                <w:rFonts w:ascii="Arial" w:hAnsi="Arial" w:cs="Arial"/>
                <w:sz w:val="22"/>
                <w:szCs w:val="22"/>
              </w:rPr>
              <w:t>ritten confirmation from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supplier that </w:t>
            </w:r>
            <w:r>
              <w:rPr>
                <w:rFonts w:ascii="Arial" w:hAnsi="Arial" w:cs="Arial"/>
                <w:sz w:val="22"/>
                <w:szCs w:val="22"/>
              </w:rPr>
              <w:t>the dummy chain complies with the Mandatory Standard.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4EC65" w14:textId="77777777" w:rsidR="002D6039" w:rsidRPr="006C402A" w:rsidRDefault="002D6039" w:rsidP="00331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DC69E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5D3CCD52" w14:textId="77777777" w:rsidTr="003312B7">
        <w:tc>
          <w:tcPr>
            <w:tcW w:w="1304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A49B1A" w14:textId="77777777" w:rsidR="002D6039" w:rsidRPr="00E2168B" w:rsidRDefault="002D6039" w:rsidP="003312B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Test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Test report obtained</w:t>
            </w:r>
            <w:r w:rsidRPr="00D351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EFC60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84D71A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039" w:rsidRPr="009F6476" w14:paraId="05C463ED" w14:textId="77777777" w:rsidTr="003312B7">
        <w:tc>
          <w:tcPr>
            <w:tcW w:w="1304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9DAA92" w14:textId="77777777" w:rsidR="002D6039" w:rsidRPr="006D0D0D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0D0D">
              <w:rPr>
                <w:rFonts w:ascii="Arial" w:hAnsi="Arial" w:cs="Arial"/>
                <w:sz w:val="22"/>
                <w:szCs w:val="22"/>
              </w:rPr>
              <w:t xml:space="preserve">provided by an independent testing facility that has accreditation for </w:t>
            </w:r>
            <w:r>
              <w:rPr>
                <w:rFonts w:ascii="Arial" w:hAnsi="Arial" w:cs="Arial"/>
                <w:sz w:val="22"/>
                <w:szCs w:val="22"/>
              </w:rPr>
              <w:t>the relevant standard</w:t>
            </w:r>
            <w:r w:rsidRPr="006D0D0D">
              <w:rPr>
                <w:rFonts w:ascii="Arial" w:hAnsi="Arial" w:cs="Arial"/>
                <w:sz w:val="22"/>
                <w:szCs w:val="22"/>
              </w:rPr>
              <w:t xml:space="preserve"> (accredited by NATA or from an overseas accrediting body recognised by NATA)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 </w:t>
            </w:r>
            <w:r w:rsidRPr="00FF4681">
              <w:rPr>
                <w:rFonts w:ascii="Arial" w:hAnsi="Arial" w:cs="Arial"/>
                <w:i/>
                <w:sz w:val="22"/>
                <w:szCs w:val="22"/>
              </w:rPr>
              <w:t>EN 12586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7124CB">
              <w:rPr>
                <w:rFonts w:ascii="Arial" w:hAnsi="Arial" w:cs="Arial"/>
                <w:i/>
                <w:sz w:val="22"/>
                <w:szCs w:val="22"/>
              </w:rPr>
              <w:t>2007 + A1:2011</w:t>
            </w:r>
            <w:r w:rsidRPr="00FF4681">
              <w:rPr>
                <w:rFonts w:ascii="Arial" w:hAnsi="Arial" w:cs="Arial"/>
                <w:i/>
                <w:sz w:val="22"/>
                <w:szCs w:val="22"/>
              </w:rPr>
              <w:t xml:space="preserve"> – Child use and care articles – Soother holder – Safety requirements and test methods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461B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7F53F3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233810C5" w14:textId="77777777" w:rsidTr="003312B7">
        <w:tc>
          <w:tcPr>
            <w:tcW w:w="1304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3A3BFC" w14:textId="77777777" w:rsidR="002D6039" w:rsidRPr="00C83481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and accurately identifies the exact product to be supplied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C17EE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CEAFB8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058B45B4" w14:textId="77777777" w:rsidTr="003312B7">
        <w:tc>
          <w:tcPr>
            <w:tcW w:w="130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E810C3" w14:textId="77777777" w:rsidR="002D6039" w:rsidRPr="00FF4681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confirms the product meets all the applicable requirements of the Mandatory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F59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040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2D6039" w:rsidRPr="009F6476" w14:paraId="759540FA" w14:textId="77777777" w:rsidTr="003312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041" w:type="dxa"/>
          </w:tcPr>
          <w:p w14:paraId="4AFDC4AF" w14:textId="77777777" w:rsidR="002D6039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Visual Inspection for decals and labels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actual product has been conducted that confirms no decals or labels attached to any part of the dummy chain by adhesive.  </w:t>
            </w:r>
          </w:p>
          <w:p w14:paraId="046F538E" w14:textId="77777777" w:rsidR="002D6039" w:rsidRDefault="002D6039" w:rsidP="003312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Notes: </w:t>
            </w:r>
          </w:p>
          <w:p w14:paraId="3DE52A3B" w14:textId="77777777" w:rsidR="002D6039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decorations can be moulded into or imprinted on the dummy chain but they cannot be attached by adhesive;</w:t>
            </w:r>
          </w:p>
          <w:p w14:paraId="1B91E364" w14:textId="77777777" w:rsidR="002D6039" w:rsidRPr="007124CB" w:rsidRDefault="002D6039" w:rsidP="002D6039">
            <w:pPr>
              <w:numPr>
                <w:ilvl w:val="4"/>
                <w:numId w:val="2"/>
              </w:numPr>
              <w:tabs>
                <w:tab w:val="clear" w:pos="3600"/>
                <w:tab w:val="num" w:pos="2203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decals or labels can be attached by adhesive </w:t>
            </w:r>
            <w:r w:rsidRPr="007124CB">
              <w:rPr>
                <w:rFonts w:ascii="Arial" w:hAnsi="Arial" w:cs="Arial"/>
                <w:sz w:val="22"/>
                <w:szCs w:val="22"/>
                <w:u w:val="single"/>
              </w:rPr>
              <w:t>before</w:t>
            </w:r>
            <w:r>
              <w:rPr>
                <w:rFonts w:ascii="Arial" w:hAnsi="Arial" w:cs="Arial"/>
                <w:sz w:val="22"/>
                <w:szCs w:val="22"/>
              </w:rPr>
              <w:t xml:space="preserve"> 1 July 2019 if they have been tested and meet the requirements of </w:t>
            </w:r>
            <w:r w:rsidRPr="00FF4681">
              <w:rPr>
                <w:rFonts w:ascii="Arial" w:hAnsi="Arial" w:cs="Arial"/>
                <w:i/>
                <w:sz w:val="22"/>
                <w:szCs w:val="22"/>
              </w:rPr>
              <w:t>EN 12586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7124CB">
              <w:rPr>
                <w:rFonts w:ascii="Arial" w:hAnsi="Arial" w:cs="Arial"/>
                <w:i/>
                <w:sz w:val="22"/>
                <w:szCs w:val="22"/>
              </w:rPr>
              <w:t>2007 + A1:2011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14:paraId="46CD3185" w14:textId="77777777" w:rsidR="002D6039" w:rsidRPr="006C402A" w:rsidRDefault="002D6039" w:rsidP="003312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8F18C04" w14:textId="77777777" w:rsidR="002D6039" w:rsidRPr="006C402A" w:rsidRDefault="002D6039" w:rsidP="0033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79EABA9E" w14:textId="77777777" w:rsidR="002D6039" w:rsidRDefault="002D6039" w:rsidP="002D6039"/>
    <w:sectPr w:rsidR="002D6039" w:rsidSect="0012741C">
      <w:footerReference w:type="default" r:id="rId7"/>
      <w:footerReference w:type="first" r:id="rId8"/>
      <w:pgSz w:w="16838" w:h="11906" w:orient="landscape" w:code="9"/>
      <w:pgMar w:top="568" w:right="720" w:bottom="426" w:left="720" w:header="709" w:footer="19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5098" w14:textId="77777777" w:rsidR="00414976" w:rsidRDefault="00414976" w:rsidP="00304C83">
      <w:r>
        <w:separator/>
      </w:r>
    </w:p>
  </w:endnote>
  <w:endnote w:type="continuationSeparator" w:id="0">
    <w:p w14:paraId="31E2496E" w14:textId="77777777" w:rsidR="00414976" w:rsidRDefault="00414976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6031097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952106"/>
          <w:docPartObj>
            <w:docPartGallery w:val="Page Numbers (Top of Page)"/>
            <w:docPartUnique/>
          </w:docPartObj>
        </w:sdtPr>
        <w:sdtContent>
          <w:p w14:paraId="4E4DB3DE" w14:textId="42AC9A60" w:rsidR="0012741C" w:rsidRPr="00381FA7" w:rsidRDefault="00381FA7" w:rsidP="00381FA7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FB95FE" wp14:editId="24B610BC">
                  <wp:extent cx="657225" cy="180975"/>
                  <wp:effectExtent l="0" t="0" r="9525" b="9525"/>
                  <wp:docPr id="2" name="Picture 2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513577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994055667"/>
          <w:docPartObj>
            <w:docPartGallery w:val="Page Numbers (Top of Page)"/>
            <w:docPartUnique/>
          </w:docPartObj>
        </w:sdtPr>
        <w:sdtContent>
          <w:p w14:paraId="36FFB9ED" w14:textId="37BAA399" w:rsidR="0012741C" w:rsidRPr="00381FA7" w:rsidRDefault="00381FA7" w:rsidP="00381FA7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760F66" wp14:editId="1C39735B">
                  <wp:extent cx="657225" cy="180975"/>
                  <wp:effectExtent l="0" t="0" r="9525" b="9525"/>
                  <wp:docPr id="1" name="Picture 1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1B72" w14:textId="77777777" w:rsidR="00414976" w:rsidRDefault="00414976" w:rsidP="00304C83">
      <w:r>
        <w:separator/>
      </w:r>
    </w:p>
  </w:footnote>
  <w:footnote w:type="continuationSeparator" w:id="0">
    <w:p w14:paraId="08F9A4FF" w14:textId="77777777" w:rsidR="00414976" w:rsidRDefault="00414976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76BF8"/>
    <w:multiLevelType w:val="hybridMultilevel"/>
    <w:tmpl w:val="D1AC466E"/>
    <w:lvl w:ilvl="0" w:tplc="A53441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4FC"/>
    <w:multiLevelType w:val="hybridMultilevel"/>
    <w:tmpl w:val="11FC6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64594"/>
    <w:multiLevelType w:val="hybridMultilevel"/>
    <w:tmpl w:val="E7C86786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037A4"/>
    <w:rsid w:val="00012933"/>
    <w:rsid w:val="000254E0"/>
    <w:rsid w:val="00075D88"/>
    <w:rsid w:val="0009673A"/>
    <w:rsid w:val="00097E8D"/>
    <w:rsid w:val="000A4414"/>
    <w:rsid w:val="000B055D"/>
    <w:rsid w:val="000B078D"/>
    <w:rsid w:val="000B42AF"/>
    <w:rsid w:val="000D4BD4"/>
    <w:rsid w:val="0010079B"/>
    <w:rsid w:val="00102F6E"/>
    <w:rsid w:val="0012741C"/>
    <w:rsid w:val="00131984"/>
    <w:rsid w:val="00133BB2"/>
    <w:rsid w:val="00172D7B"/>
    <w:rsid w:val="001879FF"/>
    <w:rsid w:val="00195BC6"/>
    <w:rsid w:val="001A0E4F"/>
    <w:rsid w:val="001C0E7F"/>
    <w:rsid w:val="001D4718"/>
    <w:rsid w:val="002364D7"/>
    <w:rsid w:val="00241592"/>
    <w:rsid w:val="002763C5"/>
    <w:rsid w:val="0027767C"/>
    <w:rsid w:val="0029022B"/>
    <w:rsid w:val="002D6039"/>
    <w:rsid w:val="00306E9A"/>
    <w:rsid w:val="0033772B"/>
    <w:rsid w:val="00353191"/>
    <w:rsid w:val="00356E97"/>
    <w:rsid w:val="00381FA7"/>
    <w:rsid w:val="00382C3F"/>
    <w:rsid w:val="003D4367"/>
    <w:rsid w:val="003D77A8"/>
    <w:rsid w:val="003F69C6"/>
    <w:rsid w:val="00414976"/>
    <w:rsid w:val="00414B08"/>
    <w:rsid w:val="004270C5"/>
    <w:rsid w:val="00432A88"/>
    <w:rsid w:val="00437F12"/>
    <w:rsid w:val="00451653"/>
    <w:rsid w:val="004667A8"/>
    <w:rsid w:val="0047003A"/>
    <w:rsid w:val="00473B77"/>
    <w:rsid w:val="004D258A"/>
    <w:rsid w:val="004D6397"/>
    <w:rsid w:val="0053252C"/>
    <w:rsid w:val="00532708"/>
    <w:rsid w:val="00544C50"/>
    <w:rsid w:val="0059468E"/>
    <w:rsid w:val="005A1FFE"/>
    <w:rsid w:val="005C33DD"/>
    <w:rsid w:val="0066432B"/>
    <w:rsid w:val="00686436"/>
    <w:rsid w:val="006864B3"/>
    <w:rsid w:val="00695B8A"/>
    <w:rsid w:val="00695FCF"/>
    <w:rsid w:val="006A1D6B"/>
    <w:rsid w:val="006C280F"/>
    <w:rsid w:val="006D2BCF"/>
    <w:rsid w:val="00704C38"/>
    <w:rsid w:val="007270C0"/>
    <w:rsid w:val="00733400"/>
    <w:rsid w:val="00757198"/>
    <w:rsid w:val="007754D9"/>
    <w:rsid w:val="007A455A"/>
    <w:rsid w:val="007C3034"/>
    <w:rsid w:val="007F6FB3"/>
    <w:rsid w:val="008153DF"/>
    <w:rsid w:val="00817E80"/>
    <w:rsid w:val="00821306"/>
    <w:rsid w:val="00825AD2"/>
    <w:rsid w:val="00841084"/>
    <w:rsid w:val="008430B8"/>
    <w:rsid w:val="00844D2C"/>
    <w:rsid w:val="00846D51"/>
    <w:rsid w:val="0084732D"/>
    <w:rsid w:val="0089277E"/>
    <w:rsid w:val="00893231"/>
    <w:rsid w:val="008941A3"/>
    <w:rsid w:val="008C2D29"/>
    <w:rsid w:val="008D50B0"/>
    <w:rsid w:val="00923BD1"/>
    <w:rsid w:val="00946C0B"/>
    <w:rsid w:val="00973F76"/>
    <w:rsid w:val="009E6223"/>
    <w:rsid w:val="00A111F3"/>
    <w:rsid w:val="00A6205D"/>
    <w:rsid w:val="00A65EFA"/>
    <w:rsid w:val="00A86F17"/>
    <w:rsid w:val="00A95805"/>
    <w:rsid w:val="00AC3C84"/>
    <w:rsid w:val="00AD4914"/>
    <w:rsid w:val="00AD7B26"/>
    <w:rsid w:val="00AE3CEA"/>
    <w:rsid w:val="00AE5C33"/>
    <w:rsid w:val="00B10B07"/>
    <w:rsid w:val="00B51998"/>
    <w:rsid w:val="00B57C18"/>
    <w:rsid w:val="00B751B4"/>
    <w:rsid w:val="00B86033"/>
    <w:rsid w:val="00BC0CAB"/>
    <w:rsid w:val="00BD0F4B"/>
    <w:rsid w:val="00C21537"/>
    <w:rsid w:val="00C810C8"/>
    <w:rsid w:val="00C83481"/>
    <w:rsid w:val="00C9682B"/>
    <w:rsid w:val="00CB02BC"/>
    <w:rsid w:val="00CB6333"/>
    <w:rsid w:val="00D30DAA"/>
    <w:rsid w:val="00D430C1"/>
    <w:rsid w:val="00DB2F7A"/>
    <w:rsid w:val="00DE46BE"/>
    <w:rsid w:val="00E05266"/>
    <w:rsid w:val="00E17C6C"/>
    <w:rsid w:val="00E651DB"/>
    <w:rsid w:val="00E828C4"/>
    <w:rsid w:val="00EB3E97"/>
    <w:rsid w:val="00EE0EA7"/>
    <w:rsid w:val="00F31808"/>
    <w:rsid w:val="00F50CB3"/>
    <w:rsid w:val="00F63517"/>
    <w:rsid w:val="00FA691B"/>
    <w:rsid w:val="00FC3F44"/>
    <w:rsid w:val="00FD122A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2BDEE"/>
  <w15:docId w15:val="{CCFBB71F-AAA6-4BAA-B642-830A7A7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character" w:customStyle="1" w:styleId="contentossregulation">
    <w:name w:val="contentossregulation"/>
    <w:basedOn w:val="DefaultParagraphFont"/>
    <w:rsid w:val="00E828C4"/>
  </w:style>
  <w:style w:type="paragraph" w:styleId="Header">
    <w:name w:val="header"/>
    <w:basedOn w:val="Normal"/>
    <w:link w:val="HeaderChar"/>
    <w:unhideWhenUsed/>
    <w:rsid w:val="00127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74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40</cp:revision>
  <cp:lastPrinted>2016-12-18T14:30:00Z</cp:lastPrinted>
  <dcterms:created xsi:type="dcterms:W3CDTF">2012-12-18T07:53:00Z</dcterms:created>
  <dcterms:modified xsi:type="dcterms:W3CDTF">2018-10-24T09:57:00Z</dcterms:modified>
</cp:coreProperties>
</file>