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9502" w14:textId="77777777" w:rsidR="009D1C73" w:rsidRDefault="009D1C73" w:rsidP="008550E6">
      <w:pPr>
        <w:spacing w:after="120" w:line="300" w:lineRule="atLeast"/>
        <w:ind w:left="142" w:right="23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</w:t>
      </w:r>
      <w:r w:rsidRPr="009D1C73">
        <w:rPr>
          <w:rFonts w:ascii="Arial" w:hAnsi="Arial" w:cs="Arial"/>
          <w:b/>
          <w:bCs/>
          <w:iCs/>
          <w:sz w:val="28"/>
          <w:szCs w:val="28"/>
        </w:rPr>
        <w:t>Baby Bath Aids</w:t>
      </w:r>
      <w:r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6DFA8E3C" w14:textId="5FC8D079" w:rsidR="009D1C73" w:rsidRPr="00642D1A" w:rsidRDefault="009D1C73" w:rsidP="006946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As a supplier of </w:t>
      </w:r>
      <w:r w:rsidRPr="00211B12">
        <w:rPr>
          <w:rFonts w:ascii="Arial" w:hAnsi="Arial" w:cs="Arial"/>
          <w:b/>
        </w:rPr>
        <w:t xml:space="preserve">‘Baby Bath Aids’ </w:t>
      </w:r>
      <w:r>
        <w:rPr>
          <w:rFonts w:ascii="Arial" w:hAnsi="Arial" w:cs="Arial"/>
          <w:b/>
          <w:bCs/>
          <w:iCs/>
        </w:rPr>
        <w:t xml:space="preserve">you must complete this form and return it to </w:t>
      </w:r>
      <w:r w:rsidR="008550E6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to verify the products to be supplied meet the requirements of Australia’s Mandatory </w:t>
      </w:r>
      <w:r w:rsidR="003037CE"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 xml:space="preserve">afety Standard.  These products will not be accepted by </w:t>
      </w:r>
      <w:r w:rsidR="008550E6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or</w:t>
      </w:r>
      <w:r w:rsidRPr="00A33A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offered for sale on </w:t>
      </w:r>
      <w:r w:rsidR="008550E6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websites until you have provided this verification.</w:t>
      </w:r>
    </w:p>
    <w:p w14:paraId="7C50758A" w14:textId="77777777" w:rsidR="00271AD6" w:rsidRPr="00271AD6" w:rsidRDefault="009D1C73" w:rsidP="008550E6">
      <w:pPr>
        <w:spacing w:before="120" w:line="300" w:lineRule="atLeast"/>
        <w:ind w:left="142" w:right="374"/>
        <w:jc w:val="both"/>
        <w:rPr>
          <w:rFonts w:ascii="Arial" w:hAnsi="Arial" w:cs="Arial"/>
          <w:b/>
          <w:i/>
        </w:rPr>
      </w:pPr>
      <w:r w:rsidRPr="00271AD6">
        <w:rPr>
          <w:rFonts w:ascii="Arial" w:hAnsi="Arial" w:cs="Arial"/>
          <w:b/>
          <w:bCs/>
          <w:iCs/>
        </w:rPr>
        <w:t>It is illegal to supply “</w:t>
      </w:r>
      <w:r w:rsidRPr="00271AD6">
        <w:rPr>
          <w:rFonts w:ascii="Arial" w:hAnsi="Arial" w:cs="Arial"/>
          <w:b/>
        </w:rPr>
        <w:t xml:space="preserve">‘Baby Bath Aids’ </w:t>
      </w:r>
      <w:r w:rsidRPr="00271AD6">
        <w:rPr>
          <w:rFonts w:ascii="Arial" w:hAnsi="Arial" w:cs="Arial"/>
          <w:b/>
          <w:bCs/>
          <w:iCs/>
        </w:rPr>
        <w:t>that do not meet the requirements of</w:t>
      </w:r>
      <w:r w:rsidRPr="00271AD6">
        <w:rPr>
          <w:rFonts w:ascii="Arial" w:hAnsi="Arial" w:cs="Arial"/>
          <w:b/>
        </w:rPr>
        <w:t xml:space="preserve"> Australia’s mandatory standard</w:t>
      </w:r>
      <w:r w:rsidR="00271AD6" w:rsidRPr="00271AD6">
        <w:rPr>
          <w:rFonts w:ascii="Arial" w:hAnsi="Arial" w:cs="Arial"/>
          <w:b/>
          <w:i/>
        </w:rPr>
        <w:t>:</w:t>
      </w:r>
      <w:r w:rsidRPr="00271AD6">
        <w:rPr>
          <w:rFonts w:ascii="Arial" w:hAnsi="Arial" w:cs="Arial"/>
          <w:b/>
          <w:i/>
        </w:rPr>
        <w:t>–</w:t>
      </w:r>
    </w:p>
    <w:p w14:paraId="35BA2AC4" w14:textId="77777777" w:rsidR="009D1C73" w:rsidRPr="00271AD6" w:rsidRDefault="00271AD6" w:rsidP="009D1C73">
      <w:pPr>
        <w:spacing w:line="300" w:lineRule="atLeast"/>
        <w:ind w:left="142" w:right="372"/>
        <w:jc w:val="both"/>
        <w:rPr>
          <w:rFonts w:ascii="Arial" w:hAnsi="Arial" w:cs="Arial"/>
          <w:b/>
          <w:i/>
          <w:lang w:val="en-US" w:eastAsia="en-US"/>
        </w:rPr>
      </w:pPr>
      <w:r w:rsidRPr="00271AD6">
        <w:rPr>
          <w:rFonts w:ascii="Arial" w:hAnsi="Arial" w:cs="Arial"/>
          <w:i/>
        </w:rPr>
        <w:fldChar w:fldCharType="begin"/>
      </w:r>
      <w:r w:rsidRPr="00271AD6">
        <w:rPr>
          <w:rFonts w:ascii="Arial" w:hAnsi="Arial" w:cs="Arial"/>
          <w:i/>
        </w:rPr>
        <w:instrText xml:space="preserve"> STYLEREF  ShortT </w:instrText>
      </w:r>
      <w:r w:rsidRPr="00271AD6">
        <w:rPr>
          <w:rFonts w:ascii="Arial" w:hAnsi="Arial" w:cs="Arial"/>
          <w:i/>
        </w:rPr>
        <w:fldChar w:fldCharType="separate"/>
      </w:r>
      <w:r w:rsidRPr="00271AD6">
        <w:rPr>
          <w:rFonts w:ascii="Arial" w:hAnsi="Arial" w:cs="Arial"/>
          <w:i/>
          <w:noProof/>
        </w:rPr>
        <w:t>Consumer Goods (Baby Bath Aids) Safety Standard 2017</w:t>
      </w:r>
      <w:r w:rsidRPr="00271AD6">
        <w:rPr>
          <w:rFonts w:ascii="Arial" w:hAnsi="Arial" w:cs="Arial"/>
          <w:i/>
        </w:rPr>
        <w:fldChar w:fldCharType="end"/>
      </w:r>
      <w:r w:rsidR="009D1C73" w:rsidRPr="00271AD6">
        <w:rPr>
          <w:rFonts w:ascii="Arial" w:hAnsi="Arial" w:cs="Arial"/>
          <w:b/>
          <w:i/>
          <w:lang w:val="en-US" w:eastAsia="en-US"/>
        </w:rPr>
        <w:t xml:space="preserve"> </w:t>
      </w:r>
      <w:r w:rsidR="009D1C73" w:rsidRPr="00271AD6">
        <w:rPr>
          <w:rFonts w:ascii="Arial" w:hAnsi="Arial" w:cs="Arial"/>
          <w:b/>
        </w:rPr>
        <w:t>(“the Mandatory Standard”).</w:t>
      </w:r>
    </w:p>
    <w:p w14:paraId="42076FF4" w14:textId="77777777" w:rsidR="009D1C73" w:rsidRPr="00271AD6" w:rsidRDefault="009D1C73" w:rsidP="009D1C73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325EB9CF" w14:textId="77777777" w:rsidR="009D1C73" w:rsidRPr="00271AD6" w:rsidRDefault="009D1C73" w:rsidP="009D1C73">
      <w:pPr>
        <w:spacing w:line="300" w:lineRule="atLeast"/>
        <w:ind w:left="142" w:right="372"/>
        <w:jc w:val="center"/>
        <w:rPr>
          <w:rFonts w:ascii="Arial" w:hAnsi="Arial" w:cs="Arial"/>
          <w:b/>
          <w:color w:val="FF0000"/>
        </w:rPr>
      </w:pPr>
      <w:r w:rsidRPr="00271AD6">
        <w:rPr>
          <w:rFonts w:ascii="Arial" w:hAnsi="Arial" w:cs="Arial"/>
          <w:b/>
          <w:color w:val="FF0000"/>
        </w:rPr>
        <w:t>By completing this form you are verifying that the products identified in this form comply with the Mandatory Standard.</w:t>
      </w:r>
    </w:p>
    <w:p w14:paraId="770B0FB0" w14:textId="107EDBE5" w:rsidR="009D1C73" w:rsidRDefault="009D1C73" w:rsidP="009D1C73">
      <w:pPr>
        <w:spacing w:line="300" w:lineRule="atLeast"/>
        <w:ind w:left="142" w:right="372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134"/>
      </w:tblGrid>
      <w:tr w:rsidR="006946CF" w14:paraId="1BEF72CA" w14:textId="77777777" w:rsidTr="006946CF">
        <w:tc>
          <w:tcPr>
            <w:tcW w:w="15134" w:type="dxa"/>
            <w:shd w:val="clear" w:color="auto" w:fill="F2F2F2" w:themeFill="background1" w:themeFillShade="F2"/>
          </w:tcPr>
          <w:p w14:paraId="6E4CC63D" w14:textId="77777777" w:rsidR="006946CF" w:rsidRPr="00271AD6" w:rsidRDefault="006946CF" w:rsidP="006946CF">
            <w:pPr>
              <w:spacing w:line="300" w:lineRule="atLeast"/>
              <w:ind w:left="142" w:right="372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  <w:b/>
              </w:rPr>
              <w:t>What products must comply?</w:t>
            </w:r>
            <w:r w:rsidRPr="00271AD6">
              <w:rPr>
                <w:rFonts w:ascii="Arial" w:hAnsi="Arial" w:cs="Arial"/>
              </w:rPr>
              <w:t xml:space="preserve"> The Mandatory Standard covers device designed to support a baby while the baby is being bathed.</w:t>
            </w:r>
          </w:p>
          <w:p w14:paraId="3EB3E2F1" w14:textId="77777777" w:rsidR="006946CF" w:rsidRPr="00271AD6" w:rsidRDefault="006946CF" w:rsidP="006946CF">
            <w:pPr>
              <w:spacing w:line="300" w:lineRule="atLeast"/>
              <w:ind w:left="142" w:right="-53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Examples:</w:t>
            </w:r>
          </w:p>
          <w:p w14:paraId="16161750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bath seats</w:t>
            </w:r>
          </w:p>
          <w:p w14:paraId="688910C8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cradles</w:t>
            </w:r>
          </w:p>
          <w:p w14:paraId="6D55B5C0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hammocks</w:t>
            </w:r>
          </w:p>
          <w:p w14:paraId="0C2A7293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recliners</w:t>
            </w:r>
          </w:p>
          <w:p w14:paraId="537A3390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supports</w:t>
            </w:r>
          </w:p>
          <w:p w14:paraId="12190411" w14:textId="77777777" w:rsidR="006946CF" w:rsidRPr="00271AD6" w:rsidRDefault="006946CF" w:rsidP="006946CF">
            <w:pPr>
              <w:pStyle w:val="ListParagraph"/>
              <w:numPr>
                <w:ilvl w:val="0"/>
                <w:numId w:val="8"/>
              </w:numPr>
              <w:spacing w:line="300" w:lineRule="atLeast"/>
              <w:ind w:left="567" w:right="-53" w:hanging="425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flotation rings</w:t>
            </w:r>
          </w:p>
          <w:p w14:paraId="07B09276" w14:textId="1614F262" w:rsidR="006946CF" w:rsidRPr="006946CF" w:rsidRDefault="006946CF" w:rsidP="006946CF">
            <w:pPr>
              <w:pStyle w:val="ListParagraph"/>
              <w:numPr>
                <w:ilvl w:val="0"/>
                <w:numId w:val="8"/>
              </w:numPr>
              <w:spacing w:after="120" w:line="300" w:lineRule="atLeast"/>
              <w:ind w:left="567" w:right="-51" w:hanging="425"/>
              <w:contextualSpacing w:val="0"/>
              <w:rPr>
                <w:rFonts w:ascii="Arial" w:hAnsi="Arial" w:cs="Arial"/>
              </w:rPr>
            </w:pPr>
            <w:r w:rsidRPr="00271AD6">
              <w:rPr>
                <w:rFonts w:ascii="Arial" w:hAnsi="Arial" w:cs="Arial"/>
              </w:rPr>
              <w:t>supports that are accessories for, or integral to, a baby bathtub.</w:t>
            </w:r>
          </w:p>
        </w:tc>
      </w:tr>
    </w:tbl>
    <w:p w14:paraId="35F29A7C" w14:textId="77777777" w:rsidR="008550E6" w:rsidRDefault="008550E6" w:rsidP="008550E6">
      <w:pPr>
        <w:rPr>
          <w:rFonts w:ascii="Arial" w:hAnsi="Arial" w:cs="Arial"/>
          <w:b/>
        </w:rPr>
      </w:pP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8550E6" w14:paraId="30B2BE54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D496F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FE9D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8550E6" w14:paraId="6EF78D70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6891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6A87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8550E6" w14:paraId="439A4477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9FE12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C018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550E6" w14:paraId="7058A4A2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16ADE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DC3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8550E6" w14:paraId="406D12F0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0D00B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ECC6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8550E6" w14:paraId="597869EE" w14:textId="77777777" w:rsidTr="00D3599F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C6512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E2759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bookmarkStart w:id="0" w:name="_GoBack"/>
            <w:bookmarkEnd w:id="0"/>
          </w:p>
        </w:tc>
      </w:tr>
      <w:tr w:rsidR="008550E6" w14:paraId="5BBF1B8E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BF2D" w14:textId="77777777" w:rsidR="008550E6" w:rsidRDefault="008550E6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1AE2" w14:textId="77777777" w:rsidR="008550E6" w:rsidRDefault="008550E6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8550E6" w14:paraId="5E142E60" w14:textId="77777777" w:rsidTr="00D3599F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ED0D" w14:textId="77777777" w:rsidR="008550E6" w:rsidRDefault="008550E6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FD17" w14:textId="77777777" w:rsidR="008550E6" w:rsidRDefault="008550E6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8550E6" w14:paraId="6AC423CE" w14:textId="77777777" w:rsidTr="00D3599F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C9B" w14:textId="77777777" w:rsidR="008550E6" w:rsidRDefault="008550E6" w:rsidP="00D3599F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716" w14:textId="77777777" w:rsidR="008550E6" w:rsidRDefault="008550E6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D31F" w14:textId="77777777" w:rsidR="008550E6" w:rsidRDefault="008550E6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BF1" w14:textId="77777777" w:rsidR="008550E6" w:rsidRDefault="008550E6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57AF9870" w14:textId="77777777" w:rsidR="009D1C73" w:rsidRDefault="009D1C73" w:rsidP="00C83481">
      <w:pPr>
        <w:spacing w:line="300" w:lineRule="atLeast"/>
        <w:ind w:left="142" w:right="372"/>
        <w:rPr>
          <w:rFonts w:ascii="Arial" w:hAnsi="Arial" w:cs="Arial"/>
          <w:i/>
        </w:rPr>
      </w:pPr>
    </w:p>
    <w:p w14:paraId="0677EBEA" w14:textId="77777777" w:rsidR="00271AD6" w:rsidRDefault="00271AD6" w:rsidP="00271AD6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</w:t>
      </w:r>
      <w:r w:rsidRPr="009D1C73">
        <w:rPr>
          <w:rFonts w:ascii="Arial" w:hAnsi="Arial" w:cs="Arial"/>
          <w:b/>
          <w:bCs/>
          <w:iCs/>
          <w:sz w:val="28"/>
          <w:szCs w:val="28"/>
        </w:rPr>
        <w:t>Baby Bath Aids</w:t>
      </w:r>
      <w:r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41A220B6" w14:textId="77777777" w:rsidR="00271AD6" w:rsidRDefault="00271AD6" w:rsidP="00271AD6">
      <w:pPr>
        <w:spacing w:line="300" w:lineRule="atLeast"/>
        <w:ind w:left="142" w:right="372"/>
        <w:rPr>
          <w:rFonts w:ascii="Arial" w:hAnsi="Arial" w:cs="Arial"/>
          <w:i/>
        </w:rPr>
      </w:pPr>
    </w:p>
    <w:tbl>
      <w:tblPr>
        <w:tblStyle w:val="TableGrid"/>
        <w:tblW w:w="15026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3"/>
        <w:gridCol w:w="1843"/>
      </w:tblGrid>
      <w:tr w:rsidR="00271AD6" w:rsidRPr="009F6476" w14:paraId="5F3D3585" w14:textId="77777777" w:rsidTr="0017620E">
        <w:trPr>
          <w:cantSplit/>
          <w:tblHeader/>
        </w:trPr>
        <w:tc>
          <w:tcPr>
            <w:tcW w:w="13183" w:type="dxa"/>
            <w:tcBorders>
              <w:right w:val="single" w:sz="4" w:space="0" w:color="auto"/>
            </w:tcBorders>
          </w:tcPr>
          <w:p w14:paraId="03CDC282" w14:textId="77777777" w:rsidR="00271AD6" w:rsidRPr="006C402A" w:rsidRDefault="00271AD6" w:rsidP="0017620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7ABA748" w14:textId="77777777" w:rsidR="00271AD6" w:rsidRPr="006C402A" w:rsidRDefault="00271AD6" w:rsidP="0017620E">
            <w:pPr>
              <w:spacing w:before="60" w:after="60"/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71AD6" w:rsidRPr="009F6476" w14:paraId="46E979A4" w14:textId="77777777" w:rsidTr="0017620E">
        <w:trPr>
          <w:cantSplit/>
          <w:trHeight w:val="579"/>
        </w:trPr>
        <w:tc>
          <w:tcPr>
            <w:tcW w:w="13183" w:type="dxa"/>
            <w:tcBorders>
              <w:bottom w:val="nil"/>
              <w:right w:val="single" w:sz="4" w:space="0" w:color="auto"/>
            </w:tcBorders>
          </w:tcPr>
          <w:p w14:paraId="4A3B0A47" w14:textId="77777777" w:rsidR="00271AD6" w:rsidRPr="006C402A" w:rsidRDefault="00271AD6" w:rsidP="0017620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Complies with Mandatory Standard –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2168B">
              <w:rPr>
                <w:rFonts w:ascii="Arial" w:hAnsi="Arial" w:cs="Arial"/>
                <w:sz w:val="22"/>
                <w:szCs w:val="22"/>
              </w:rPr>
              <w:t>onfirmation from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product complies with the Mandatory Standard.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6063343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0FEABAA3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single" w:sz="4" w:space="0" w:color="auto"/>
              <w:bottom w:val="dashSmallGap" w:sz="4" w:space="0" w:color="auto"/>
            </w:tcBorders>
          </w:tcPr>
          <w:p w14:paraId="05EC5C6D" w14:textId="77777777" w:rsidR="00271AD6" w:rsidRPr="000B42AF" w:rsidRDefault="00271AD6" w:rsidP="0017620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Labelling– </w:t>
            </w:r>
            <w:r w:rsidRPr="000B42AF">
              <w:rPr>
                <w:rFonts w:ascii="Arial" w:hAnsi="Arial" w:cs="Arial"/>
                <w:sz w:val="22"/>
                <w:szCs w:val="22"/>
              </w:rPr>
              <w:t>A visual inspection of the finished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</w:t>
            </w:r>
            <w:r w:rsidRPr="008767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conducted that confirms the following: 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57A27EE3" w14:textId="77777777" w:rsidR="00271AD6" w:rsidRPr="006C402A" w:rsidRDefault="00271AD6" w:rsidP="0017620E">
            <w:pPr>
              <w:ind w:right="-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AD6" w:rsidRPr="009F6476" w14:paraId="587F693B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06AF78" w14:textId="77777777" w:rsidR="00271AD6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24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767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following warning appears on the </w:t>
            </w:r>
            <w:r w:rsidRPr="00BA5A3F">
              <w:rPr>
                <w:rFonts w:ascii="Arial" w:hAnsi="Arial" w:cs="Arial"/>
                <w:sz w:val="22"/>
                <w:szCs w:val="22"/>
                <w:u w:val="single"/>
              </w:rPr>
              <w:t>bath aid and any packaging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W w:w="1191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9497"/>
              <w:gridCol w:w="1134"/>
            </w:tblGrid>
            <w:tr w:rsidR="00271AD6" w:rsidRPr="00FD45EB" w14:paraId="2C4D3B56" w14:textId="77777777" w:rsidTr="0017620E">
              <w:tc>
                <w:tcPr>
                  <w:tcW w:w="1286" w:type="dxa"/>
                  <w:tcBorders>
                    <w:right w:val="nil"/>
                  </w:tcBorders>
                </w:tcPr>
                <w:p w14:paraId="0A86678A" w14:textId="77777777" w:rsidR="00271AD6" w:rsidRPr="00FD45EB" w:rsidRDefault="00271AD6" w:rsidP="0017620E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30714C3E" wp14:editId="0586AC36">
                        <wp:extent cx="605790" cy="543337"/>
                        <wp:effectExtent l="1905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3094" t="11555" r="72675" b="34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" cy="543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7" w:type="dxa"/>
                  <w:tcBorders>
                    <w:left w:val="nil"/>
                    <w:right w:val="nil"/>
                  </w:tcBorders>
                </w:tcPr>
                <w:p w14:paraId="613EBD8C" w14:textId="77777777" w:rsidR="00271AD6" w:rsidRPr="000E1C74" w:rsidRDefault="00271AD6" w:rsidP="0017620E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lang w:val="en-US" w:eastAsia="en-US"/>
                    </w:rPr>
                  </w:pPr>
                  <w:r w:rsidRPr="000E1C74">
                    <w:rPr>
                      <w:rFonts w:ascii="Arial" w:hAnsi="Arial" w:cs="Arial"/>
                      <w:b/>
                    </w:rPr>
                    <w:t>WARNING</w:t>
                  </w:r>
                  <w:r w:rsidRPr="000E1C74">
                    <w:rPr>
                      <w:rFonts w:ascii="Arial" w:hAnsi="Arial" w:cs="Arial"/>
                    </w:rPr>
                    <w:t xml:space="preserve"> — Children have </w:t>
                  </w:r>
                  <w:r w:rsidRPr="000E1C74">
                    <w:rPr>
                      <w:rFonts w:ascii="Arial" w:hAnsi="Arial" w:cs="Arial"/>
                      <w:b/>
                    </w:rPr>
                    <w:t>DROWNED</w:t>
                  </w:r>
                  <w:r w:rsidRPr="000E1C74">
                    <w:rPr>
                      <w:rFonts w:ascii="Arial" w:hAnsi="Arial" w:cs="Arial"/>
                    </w:rPr>
                    <w:t xml:space="preserve"> while using bath aids. This is </w:t>
                  </w:r>
                  <w:r w:rsidRPr="000E1C74">
                    <w:rPr>
                      <w:rFonts w:ascii="Arial" w:hAnsi="Arial" w:cs="Arial"/>
                      <w:b/>
                    </w:rPr>
                    <w:t>NOT</w:t>
                  </w:r>
                  <w:r w:rsidRPr="000E1C74">
                    <w:rPr>
                      <w:rFonts w:ascii="Arial" w:hAnsi="Arial" w:cs="Arial"/>
                    </w:rPr>
                    <w:t xml:space="preserve"> a safety device. </w:t>
                  </w:r>
                  <w:r w:rsidRPr="000E1C74">
                    <w:rPr>
                      <w:rFonts w:ascii="Arial" w:hAnsi="Arial" w:cs="Arial"/>
                      <w:b/>
                    </w:rPr>
                    <w:t>ALWAYS</w:t>
                  </w:r>
                  <w:r w:rsidRPr="000E1C74">
                    <w:rPr>
                      <w:rFonts w:ascii="Arial" w:hAnsi="Arial" w:cs="Arial"/>
                    </w:rPr>
                    <w:t xml:space="preserve"> keep baby within arm’s reach. </w:t>
                  </w:r>
                  <w:r w:rsidRPr="000E1C74">
                    <w:rPr>
                      <w:rFonts w:ascii="Arial" w:hAnsi="Arial" w:cs="Arial"/>
                      <w:b/>
                    </w:rPr>
                    <w:t>NEVER</w:t>
                  </w:r>
                  <w:r w:rsidRPr="000E1C74">
                    <w:rPr>
                      <w:rFonts w:ascii="Arial" w:hAnsi="Arial" w:cs="Arial"/>
                    </w:rPr>
                    <w:t xml:space="preserve"> leave baby in care of children.</w:t>
                  </w: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14:paraId="3EFA8857" w14:textId="77777777" w:rsidR="00271AD6" w:rsidRPr="00FD45EB" w:rsidRDefault="00271AD6" w:rsidP="0017620E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A894440" wp14:editId="1F0BFA4F">
                        <wp:extent cx="603206" cy="541020"/>
                        <wp:effectExtent l="19050" t="0" r="6394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3094" t="11555" r="72675" b="34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06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EA21E5" w14:textId="77777777" w:rsidR="00271AD6" w:rsidRPr="000B42AF" w:rsidRDefault="00271AD6" w:rsidP="00176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304E4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7878A52B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F4E470" w14:textId="77777777" w:rsidR="00271AD6" w:rsidRPr="000B42AF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warning is </w:t>
            </w:r>
            <w:r w:rsidRPr="00536DC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permanently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fixed to the baby bath aid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54AA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4C7800FF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65514A" w14:textId="77777777" w:rsidR="00271AD6" w:rsidRPr="000B42AF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warning appears </w:t>
            </w:r>
            <w:r w:rsidRPr="00BA5A3F">
              <w:rPr>
                <w:rFonts w:ascii="Arial" w:hAnsi="Arial" w:cs="Arial"/>
                <w:sz w:val="22"/>
                <w:szCs w:val="22"/>
                <w:lang w:val="en-US" w:eastAsia="en-US"/>
              </w:rPr>
              <w:t>in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 </w:t>
            </w:r>
            <w:r w:rsidRPr="00BA5A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conspicuous place on the baby bath aid and any packaging</w:t>
            </w:r>
            <w:r w:rsidRPr="00BA5A3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(unless the packaging is clear and the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warning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on the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bath aid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 be seen though the packaging). 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C68AA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025D159C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B1C2A" w14:textId="77777777" w:rsidR="00271AD6" w:rsidRPr="000E1C74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warning is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</w:t>
            </w:r>
            <w:r w:rsidRPr="00BA5A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contrasting colour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to the baby bath aid and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any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>packaging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0455D1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4EB0AA5B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2BD9D" w14:textId="77777777" w:rsidR="00271AD6" w:rsidRPr="000E1C74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warning will be </w:t>
            </w:r>
            <w:r w:rsidRPr="00911B0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clearly </w:t>
            </w:r>
            <w:r w:rsidRPr="00536DC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visible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to a person </w:t>
            </w:r>
            <w:r w:rsidRPr="00911B0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when the baby is in the baby bath aid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115DE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033147DE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4548D" w14:textId="77777777" w:rsidR="00271AD6" w:rsidRPr="000E1C74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he word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‘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WARNING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is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 capital letters and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at least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mm high.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C89D9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564D8AAE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EB0D8" w14:textId="77777777" w:rsidR="00271AD6" w:rsidRPr="000B42AF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he words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‘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DROWNED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‘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‘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ALWAYS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and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‘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NEVER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Pr="00536DC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are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 capital letters and at least 5 mm high.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313DB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3E6E82DC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E120B" w14:textId="77777777" w:rsidR="00271AD6" w:rsidRPr="000B42AF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he </w:t>
            </w:r>
            <w:r w:rsidRPr="00AE484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remaining words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are at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least 2.5 mm high.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973239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789684B3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9EF6B5" w14:textId="77777777" w:rsidR="00271AD6" w:rsidRPr="000B42AF" w:rsidRDefault="00271AD6" w:rsidP="0017620E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he </w:t>
            </w:r>
            <w:r w:rsidRPr="00AE484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safety alert symbol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is an exclamation mark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at least 13mm high 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inside an equilateral triangle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with</w:t>
            </w:r>
            <w:r w:rsidRPr="00536DC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 base at least 30mm.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5D6B4DDA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71AD6" w:rsidRPr="009F6476" w14:paraId="368A7BB2" w14:textId="77777777" w:rsidTr="001762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13183" w:type="dxa"/>
          </w:tcPr>
          <w:p w14:paraId="416DC56E" w14:textId="77777777" w:rsidR="00271AD6" w:rsidRPr="006C402A" w:rsidRDefault="00271AD6" w:rsidP="0017620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3E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test report has been </w:t>
            </w:r>
            <w:r w:rsidRPr="00266874">
              <w:rPr>
                <w:rFonts w:ascii="Arial" w:hAnsi="Arial" w:cs="Arial"/>
                <w:sz w:val="22"/>
                <w:szCs w:val="22"/>
              </w:rPr>
              <w:t>obtained from an independent test facility that verifies the warning label meets the permanency requirements of subclauses 7.3.3 or 7.3.4 of ASTM F1967</w:t>
            </w:r>
            <w:r w:rsidRPr="00266874">
              <w:rPr>
                <w:rFonts w:ascii="Arial" w:hAnsi="Arial" w:cs="Arial"/>
                <w:sz w:val="22"/>
                <w:szCs w:val="22"/>
              </w:rPr>
              <w:noBreakHyphen/>
              <w:t xml:space="preserve">13 </w:t>
            </w:r>
            <w:r w:rsidRPr="00266874">
              <w:rPr>
                <w:rFonts w:ascii="Arial" w:hAnsi="Arial" w:cs="Arial"/>
                <w:i/>
                <w:sz w:val="22"/>
                <w:szCs w:val="22"/>
              </w:rPr>
              <w:t>Standard Consumer Safety Specification for Infant Bath Seats</w:t>
            </w:r>
          </w:p>
        </w:tc>
        <w:tc>
          <w:tcPr>
            <w:tcW w:w="1843" w:type="dxa"/>
          </w:tcPr>
          <w:p w14:paraId="2B3BF749" w14:textId="77777777" w:rsidR="00271AD6" w:rsidRPr="006C402A" w:rsidRDefault="00271AD6" w:rsidP="0017620E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79B81CC6" w14:textId="77777777" w:rsidR="00271AD6" w:rsidRDefault="00271AD6" w:rsidP="00E42D5D"/>
    <w:p w14:paraId="2734D237" w14:textId="77777777" w:rsidR="00271AD6" w:rsidRDefault="00271AD6" w:rsidP="00E42D5D"/>
    <w:sectPr w:rsidR="00271AD6" w:rsidSect="00B26A3D">
      <w:footerReference w:type="default" r:id="rId8"/>
      <w:footerReference w:type="first" r:id="rId9"/>
      <w:pgSz w:w="16838" w:h="11906" w:orient="landscape" w:code="9"/>
      <w:pgMar w:top="426" w:right="720" w:bottom="284" w:left="720" w:header="709" w:footer="19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E2E6" w14:textId="77777777" w:rsidR="00A676A3" w:rsidRDefault="00A676A3" w:rsidP="00304C83">
      <w:r>
        <w:separator/>
      </w:r>
    </w:p>
  </w:endnote>
  <w:endnote w:type="continuationSeparator" w:id="0">
    <w:p w14:paraId="7E372EB5" w14:textId="77777777" w:rsidR="00A676A3" w:rsidRDefault="00A676A3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ival565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513577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994055667"/>
          <w:docPartObj>
            <w:docPartGallery w:val="Page Numbers (Top of Page)"/>
            <w:docPartUnique/>
          </w:docPartObj>
        </w:sdtPr>
        <w:sdtContent>
          <w:p w14:paraId="5E39957A" w14:textId="0604976E" w:rsidR="00B26A3D" w:rsidRPr="008550E6" w:rsidRDefault="008550E6" w:rsidP="008550E6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C5EBD0" wp14:editId="78F46154">
                  <wp:extent cx="657225" cy="180975"/>
                  <wp:effectExtent l="0" t="0" r="9525" b="9525"/>
                  <wp:docPr id="1" name="Picture 1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815601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34421853"/>
          <w:docPartObj>
            <w:docPartGallery w:val="Page Numbers (Top of Page)"/>
            <w:docPartUnique/>
          </w:docPartObj>
        </w:sdtPr>
        <w:sdtContent>
          <w:p w14:paraId="321E46D3" w14:textId="3DF1D764" w:rsidR="00B26A3D" w:rsidRPr="008550E6" w:rsidRDefault="008550E6" w:rsidP="008550E6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FB5617" wp14:editId="7522B20E">
                  <wp:extent cx="657225" cy="180975"/>
                  <wp:effectExtent l="0" t="0" r="9525" b="9525"/>
                  <wp:docPr id="4" name="Picture 4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0752" w14:textId="77777777" w:rsidR="00A676A3" w:rsidRDefault="00A676A3" w:rsidP="00304C83">
      <w:r>
        <w:separator/>
      </w:r>
    </w:p>
  </w:footnote>
  <w:footnote w:type="continuationSeparator" w:id="0">
    <w:p w14:paraId="4BA7ABAB" w14:textId="77777777" w:rsidR="00A676A3" w:rsidRDefault="00A676A3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1pt;height:196.5pt" o:bullet="t">
        <v:imagedata r:id="rId1" o:title=""/>
      </v:shape>
    </w:pict>
  </w:numPicBullet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3DCA"/>
    <w:multiLevelType w:val="hybridMultilevel"/>
    <w:tmpl w:val="84F2AD7A"/>
    <w:lvl w:ilvl="0" w:tplc="441A1876">
      <w:start w:val="1"/>
      <w:numFmt w:val="bullet"/>
      <w:lvlText w:val=""/>
      <w:lvlPicBulletId w:val="0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  <w:sz w:val="36"/>
        <w:szCs w:val="36"/>
      </w:rPr>
    </w:lvl>
    <w:lvl w:ilvl="4" w:tplc="0C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153D0B6B"/>
    <w:multiLevelType w:val="hybridMultilevel"/>
    <w:tmpl w:val="891A195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65BA7"/>
    <w:multiLevelType w:val="hybridMultilevel"/>
    <w:tmpl w:val="CF6A8F5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E685C89"/>
    <w:multiLevelType w:val="hybridMultilevel"/>
    <w:tmpl w:val="624A1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75D88"/>
    <w:rsid w:val="00096C4D"/>
    <w:rsid w:val="000A1A45"/>
    <w:rsid w:val="000A4414"/>
    <w:rsid w:val="000B42AF"/>
    <w:rsid w:val="000B63E7"/>
    <w:rsid w:val="000D4BD4"/>
    <w:rsid w:val="000E1C74"/>
    <w:rsid w:val="0010079B"/>
    <w:rsid w:val="00133BB2"/>
    <w:rsid w:val="00172D7B"/>
    <w:rsid w:val="001879FF"/>
    <w:rsid w:val="00195BC6"/>
    <w:rsid w:val="001C0E7F"/>
    <w:rsid w:val="001D4718"/>
    <w:rsid w:val="001F6C0E"/>
    <w:rsid w:val="00211B12"/>
    <w:rsid w:val="002364D7"/>
    <w:rsid w:val="00245AE9"/>
    <w:rsid w:val="00251175"/>
    <w:rsid w:val="00271AD6"/>
    <w:rsid w:val="002763C5"/>
    <w:rsid w:val="0027767C"/>
    <w:rsid w:val="0029022B"/>
    <w:rsid w:val="002F53D3"/>
    <w:rsid w:val="003037CE"/>
    <w:rsid w:val="0033772B"/>
    <w:rsid w:val="00353191"/>
    <w:rsid w:val="00371F60"/>
    <w:rsid w:val="00387C44"/>
    <w:rsid w:val="003B500F"/>
    <w:rsid w:val="003D77A8"/>
    <w:rsid w:val="003F69C6"/>
    <w:rsid w:val="004270C5"/>
    <w:rsid w:val="00437F12"/>
    <w:rsid w:val="00451653"/>
    <w:rsid w:val="004576A4"/>
    <w:rsid w:val="004667A8"/>
    <w:rsid w:val="00473B77"/>
    <w:rsid w:val="004D258A"/>
    <w:rsid w:val="004E6D9A"/>
    <w:rsid w:val="00532708"/>
    <w:rsid w:val="00567B66"/>
    <w:rsid w:val="0059468E"/>
    <w:rsid w:val="005A1FFE"/>
    <w:rsid w:val="005E1D6F"/>
    <w:rsid w:val="0066432B"/>
    <w:rsid w:val="006864B3"/>
    <w:rsid w:val="006946CF"/>
    <w:rsid w:val="00695B8A"/>
    <w:rsid w:val="00695FCF"/>
    <w:rsid w:val="006A1D6B"/>
    <w:rsid w:val="006B1C5B"/>
    <w:rsid w:val="006C280F"/>
    <w:rsid w:val="006D2BCF"/>
    <w:rsid w:val="00704C38"/>
    <w:rsid w:val="00724A8D"/>
    <w:rsid w:val="007270C0"/>
    <w:rsid w:val="00733400"/>
    <w:rsid w:val="00757198"/>
    <w:rsid w:val="00792930"/>
    <w:rsid w:val="007A455A"/>
    <w:rsid w:val="007C3034"/>
    <w:rsid w:val="007F6FB3"/>
    <w:rsid w:val="008153DF"/>
    <w:rsid w:val="00817E80"/>
    <w:rsid w:val="00821306"/>
    <w:rsid w:val="00825AD2"/>
    <w:rsid w:val="00841084"/>
    <w:rsid w:val="008430B8"/>
    <w:rsid w:val="00846D51"/>
    <w:rsid w:val="0084732D"/>
    <w:rsid w:val="008550E6"/>
    <w:rsid w:val="00881C2A"/>
    <w:rsid w:val="0089277E"/>
    <w:rsid w:val="00892B3D"/>
    <w:rsid w:val="008941A3"/>
    <w:rsid w:val="008A658A"/>
    <w:rsid w:val="008D50B0"/>
    <w:rsid w:val="00946C0B"/>
    <w:rsid w:val="009D1C73"/>
    <w:rsid w:val="009E6223"/>
    <w:rsid w:val="00A111F3"/>
    <w:rsid w:val="00A676A3"/>
    <w:rsid w:val="00A95805"/>
    <w:rsid w:val="00AC3C84"/>
    <w:rsid w:val="00AD0BBE"/>
    <w:rsid w:val="00AE3CEA"/>
    <w:rsid w:val="00AE484F"/>
    <w:rsid w:val="00AE5C33"/>
    <w:rsid w:val="00B26A3D"/>
    <w:rsid w:val="00B51998"/>
    <w:rsid w:val="00B57C18"/>
    <w:rsid w:val="00B751B4"/>
    <w:rsid w:val="00B86033"/>
    <w:rsid w:val="00BC0CAB"/>
    <w:rsid w:val="00BE47FE"/>
    <w:rsid w:val="00C21537"/>
    <w:rsid w:val="00C53699"/>
    <w:rsid w:val="00C83481"/>
    <w:rsid w:val="00C9682B"/>
    <w:rsid w:val="00CB02BC"/>
    <w:rsid w:val="00CB6333"/>
    <w:rsid w:val="00D30DAA"/>
    <w:rsid w:val="00D430C1"/>
    <w:rsid w:val="00D47134"/>
    <w:rsid w:val="00DB2F7A"/>
    <w:rsid w:val="00DC5F30"/>
    <w:rsid w:val="00DE46BE"/>
    <w:rsid w:val="00E05266"/>
    <w:rsid w:val="00E17C6C"/>
    <w:rsid w:val="00E3308E"/>
    <w:rsid w:val="00E42D5D"/>
    <w:rsid w:val="00E57D8F"/>
    <w:rsid w:val="00E651DB"/>
    <w:rsid w:val="00EB3E97"/>
    <w:rsid w:val="00EC35B0"/>
    <w:rsid w:val="00EE0EA7"/>
    <w:rsid w:val="00F36A9F"/>
    <w:rsid w:val="00F50CB3"/>
    <w:rsid w:val="00F63517"/>
    <w:rsid w:val="00FA691B"/>
    <w:rsid w:val="00FC3F44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65483"/>
  <w15:docId w15:val="{F6048581-1250-4DAC-9DA1-6569F01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customStyle="1" w:styleId="partstable">
    <w:name w:val="parts table"/>
    <w:rsid w:val="00E42D5D"/>
    <w:pPr>
      <w:pBdr>
        <w:top w:val="single" w:sz="2" w:space="0" w:color="auto"/>
        <w:between w:val="single" w:sz="2" w:space="8" w:color="auto"/>
      </w:pBdr>
      <w:tabs>
        <w:tab w:val="left" w:pos="1361"/>
      </w:tabs>
      <w:autoSpaceDE w:val="0"/>
      <w:autoSpaceDN w:val="0"/>
      <w:adjustRightInd w:val="0"/>
      <w:spacing w:after="113"/>
      <w:ind w:left="1361" w:hanging="1247"/>
    </w:pPr>
    <w:rPr>
      <w:rFonts w:ascii="Revival565 BT" w:hAnsi="Revival565 BT" w:cs="Revival565 BT"/>
      <w:color w:val="000000"/>
    </w:rPr>
  </w:style>
  <w:style w:type="paragraph" w:styleId="Header">
    <w:name w:val="header"/>
    <w:basedOn w:val="Normal"/>
    <w:link w:val="HeaderChar"/>
    <w:unhideWhenUsed/>
    <w:rsid w:val="00B26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6A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22</cp:revision>
  <dcterms:created xsi:type="dcterms:W3CDTF">2013-02-12T02:06:00Z</dcterms:created>
  <dcterms:modified xsi:type="dcterms:W3CDTF">2018-10-24T09:55:00Z</dcterms:modified>
</cp:coreProperties>
</file>