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2F7E5" w14:textId="77777777" w:rsidR="00C83481" w:rsidRDefault="00051640" w:rsidP="005E109F">
      <w:pPr>
        <w:spacing w:line="300" w:lineRule="atLeast"/>
        <w:ind w:left="142" w:right="372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Supplier Verification </w:t>
      </w:r>
      <w:r w:rsidR="00473B77" w:rsidRPr="00156E56">
        <w:rPr>
          <w:rFonts w:ascii="Arial" w:hAnsi="Arial" w:cs="Arial"/>
          <w:b/>
          <w:bCs/>
          <w:iCs/>
          <w:sz w:val="28"/>
          <w:szCs w:val="28"/>
        </w:rPr>
        <w:t xml:space="preserve">for </w:t>
      </w:r>
      <w:r w:rsidR="005E109F">
        <w:rPr>
          <w:rFonts w:ascii="Arial" w:hAnsi="Arial" w:cs="Arial"/>
          <w:b/>
          <w:bCs/>
          <w:iCs/>
          <w:sz w:val="28"/>
          <w:szCs w:val="28"/>
        </w:rPr>
        <w:t xml:space="preserve">“Flotation and </w:t>
      </w:r>
      <w:r w:rsidR="002745FB">
        <w:rPr>
          <w:rFonts w:ascii="Arial" w:hAnsi="Arial" w:cs="Arial"/>
          <w:b/>
          <w:bCs/>
          <w:iCs/>
          <w:sz w:val="28"/>
          <w:szCs w:val="28"/>
        </w:rPr>
        <w:t>Aquatic Toys</w:t>
      </w:r>
      <w:r w:rsidR="005E109F">
        <w:rPr>
          <w:rFonts w:ascii="Arial" w:hAnsi="Arial" w:cs="Arial"/>
          <w:b/>
          <w:bCs/>
          <w:iCs/>
          <w:sz w:val="28"/>
          <w:szCs w:val="28"/>
        </w:rPr>
        <w:t>”</w:t>
      </w:r>
    </w:p>
    <w:p w14:paraId="3E8CD34C" w14:textId="77777777" w:rsidR="005E109F" w:rsidRPr="0003078F" w:rsidRDefault="005E109F" w:rsidP="005E109F">
      <w:pPr>
        <w:spacing w:line="300" w:lineRule="atLeast"/>
        <w:ind w:left="142" w:right="372"/>
        <w:jc w:val="both"/>
        <w:rPr>
          <w:rFonts w:ascii="Arial" w:hAnsi="Arial" w:cs="Arial"/>
          <w:sz w:val="22"/>
          <w:szCs w:val="22"/>
        </w:rPr>
      </w:pPr>
    </w:p>
    <w:p w14:paraId="3B92F2E9" w14:textId="6483B845" w:rsidR="005E109F" w:rsidRPr="00642D1A" w:rsidRDefault="005E109F" w:rsidP="00A656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00" w:lineRule="atLeast"/>
        <w:ind w:left="284" w:right="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As a supplier of “</w:t>
      </w:r>
      <w:r w:rsidRPr="00A33A02">
        <w:rPr>
          <w:rFonts w:ascii="Arial" w:hAnsi="Arial" w:cs="Arial"/>
          <w:b/>
          <w:bCs/>
          <w:iCs/>
        </w:rPr>
        <w:t xml:space="preserve">flotation </w:t>
      </w:r>
      <w:r>
        <w:rPr>
          <w:rFonts w:ascii="Arial" w:hAnsi="Arial" w:cs="Arial"/>
          <w:b/>
          <w:bCs/>
          <w:iCs/>
        </w:rPr>
        <w:t>or</w:t>
      </w:r>
      <w:r w:rsidRPr="00A33A02">
        <w:rPr>
          <w:rFonts w:ascii="Arial" w:hAnsi="Arial" w:cs="Arial"/>
          <w:b/>
          <w:bCs/>
          <w:iCs/>
        </w:rPr>
        <w:t xml:space="preserve"> aquatic toys</w:t>
      </w:r>
      <w:r>
        <w:rPr>
          <w:rFonts w:ascii="Arial" w:hAnsi="Arial" w:cs="Arial"/>
          <w:b/>
          <w:bCs/>
          <w:iCs/>
        </w:rPr>
        <w:t xml:space="preserve">” you must complete this form and return it to </w:t>
      </w:r>
      <w:r w:rsidR="00A6561C">
        <w:rPr>
          <w:rFonts w:ascii="Arial" w:hAnsi="Arial" w:cs="Arial"/>
          <w:b/>
          <w:bCs/>
          <w:iCs/>
        </w:rPr>
        <w:t>us</w:t>
      </w:r>
      <w:r>
        <w:rPr>
          <w:rFonts w:ascii="Arial" w:hAnsi="Arial" w:cs="Arial"/>
          <w:b/>
          <w:bCs/>
          <w:iCs/>
        </w:rPr>
        <w:t xml:space="preserve"> to verify the products to be supplied meet the requirements of Australia’s Mandatory </w:t>
      </w:r>
      <w:r w:rsidR="00A33CA5">
        <w:rPr>
          <w:rFonts w:ascii="Arial" w:hAnsi="Arial" w:cs="Arial"/>
          <w:b/>
          <w:bCs/>
          <w:iCs/>
        </w:rPr>
        <w:t>S</w:t>
      </w:r>
      <w:r>
        <w:rPr>
          <w:rFonts w:ascii="Arial" w:hAnsi="Arial" w:cs="Arial"/>
          <w:b/>
          <w:bCs/>
          <w:iCs/>
        </w:rPr>
        <w:t xml:space="preserve">afety Standard.  These products will not be accepted by </w:t>
      </w:r>
      <w:r w:rsidR="00A6561C">
        <w:rPr>
          <w:rFonts w:ascii="Arial" w:hAnsi="Arial" w:cs="Arial"/>
          <w:b/>
          <w:bCs/>
          <w:iCs/>
        </w:rPr>
        <w:t>us</w:t>
      </w:r>
      <w:r>
        <w:rPr>
          <w:rFonts w:ascii="Arial" w:hAnsi="Arial" w:cs="Arial"/>
          <w:b/>
          <w:bCs/>
          <w:iCs/>
        </w:rPr>
        <w:t xml:space="preserve"> or</w:t>
      </w:r>
      <w:r w:rsidRPr="00A33A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offered for sale on </w:t>
      </w:r>
      <w:r w:rsidR="00A6561C">
        <w:rPr>
          <w:rFonts w:ascii="Arial" w:hAnsi="Arial" w:cs="Arial"/>
          <w:b/>
        </w:rPr>
        <w:t>our</w:t>
      </w:r>
      <w:r>
        <w:rPr>
          <w:rFonts w:ascii="Arial" w:hAnsi="Arial" w:cs="Arial"/>
          <w:b/>
        </w:rPr>
        <w:t xml:space="preserve"> websites until you have provided this verification.</w:t>
      </w:r>
    </w:p>
    <w:p w14:paraId="0F7DA87E" w14:textId="77777777" w:rsidR="00C00390" w:rsidRPr="002745FB" w:rsidRDefault="00C00390" w:rsidP="007270C0">
      <w:pPr>
        <w:pStyle w:val="Normal1"/>
        <w:spacing w:before="0" w:after="120" w:line="300" w:lineRule="atLeast"/>
        <w:jc w:val="center"/>
        <w:rPr>
          <w:rFonts w:ascii="Arial" w:hAnsi="Arial" w:cs="Arial"/>
          <w:b/>
          <w:i/>
          <w:sz w:val="22"/>
          <w:szCs w:val="22"/>
        </w:rPr>
      </w:pPr>
    </w:p>
    <w:p w14:paraId="62B5A710" w14:textId="77777777" w:rsidR="002745FB" w:rsidRDefault="005205A5" w:rsidP="002745FB">
      <w:pPr>
        <w:spacing w:line="300" w:lineRule="atLeast"/>
        <w:ind w:left="142" w:right="37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It is illegal to supply “f</w:t>
      </w:r>
      <w:r w:rsidR="00711FC2" w:rsidRPr="00A33A02">
        <w:rPr>
          <w:rFonts w:ascii="Arial" w:hAnsi="Arial" w:cs="Arial"/>
          <w:b/>
          <w:bCs/>
          <w:iCs/>
        </w:rPr>
        <w:t xml:space="preserve">lotation and </w:t>
      </w:r>
      <w:r w:rsidR="002745FB" w:rsidRPr="00A33A02">
        <w:rPr>
          <w:rFonts w:ascii="Arial" w:hAnsi="Arial" w:cs="Arial"/>
          <w:b/>
          <w:bCs/>
          <w:iCs/>
        </w:rPr>
        <w:t>aquatic toys</w:t>
      </w:r>
      <w:r w:rsidR="00711FC2" w:rsidRPr="00A33A02">
        <w:rPr>
          <w:rFonts w:ascii="Arial" w:hAnsi="Arial" w:cs="Arial"/>
          <w:b/>
          <w:bCs/>
          <w:iCs/>
        </w:rPr>
        <w:t xml:space="preserve"> for children under 14 years</w:t>
      </w:r>
      <w:r w:rsidR="005E109F">
        <w:rPr>
          <w:rFonts w:ascii="Arial" w:hAnsi="Arial" w:cs="Arial"/>
          <w:b/>
          <w:bCs/>
          <w:iCs/>
        </w:rPr>
        <w:t>” that do not meet the requirements of</w:t>
      </w:r>
      <w:r w:rsidR="00E17C6C" w:rsidRPr="00A33A02">
        <w:rPr>
          <w:rFonts w:ascii="Arial" w:hAnsi="Arial" w:cs="Arial"/>
          <w:b/>
        </w:rPr>
        <w:t xml:space="preserve"> Australia’s mandatory standard</w:t>
      </w:r>
      <w:r w:rsidR="00E17C6C" w:rsidRPr="00A33A02">
        <w:rPr>
          <w:rFonts w:ascii="Arial" w:hAnsi="Arial" w:cs="Arial"/>
          <w:b/>
          <w:i/>
        </w:rPr>
        <w:t xml:space="preserve"> </w:t>
      </w:r>
      <w:r w:rsidR="00711FC2" w:rsidRPr="00A33A02">
        <w:rPr>
          <w:rFonts w:ascii="Arial" w:hAnsi="Arial" w:cs="Arial"/>
          <w:b/>
          <w:i/>
        </w:rPr>
        <w:t>–</w:t>
      </w:r>
      <w:r w:rsidR="00E17C6C" w:rsidRPr="00A33A02">
        <w:rPr>
          <w:rFonts w:ascii="Arial" w:hAnsi="Arial" w:cs="Arial"/>
          <w:b/>
          <w:i/>
        </w:rPr>
        <w:t xml:space="preserve"> </w:t>
      </w:r>
      <w:r w:rsidR="002745FB" w:rsidRPr="000A767E">
        <w:rPr>
          <w:rFonts w:ascii="Arial" w:hAnsi="Arial" w:cs="Arial"/>
          <w:i/>
        </w:rPr>
        <w:t xml:space="preserve">AS/NZS ISO 8124.1:2002 Safety of toys, Part 1: Safety aspects related to mechanical and physical properties </w:t>
      </w:r>
      <w:r w:rsidR="002745FB" w:rsidRPr="000A767E">
        <w:rPr>
          <w:rFonts w:ascii="Arial" w:hAnsi="Arial" w:cs="Arial"/>
        </w:rPr>
        <w:t xml:space="preserve">as amended by </w:t>
      </w:r>
      <w:hyperlink r:id="rId7" w:history="1">
        <w:r w:rsidR="002745FB" w:rsidRPr="000A767E">
          <w:rPr>
            <w:rFonts w:ascii="Arial" w:hAnsi="Arial" w:cs="Arial"/>
          </w:rPr>
          <w:t>Consumer Protection Notice No. 2 of 2009</w:t>
        </w:r>
      </w:hyperlink>
      <w:r w:rsidR="002745FB" w:rsidRPr="00A33A02">
        <w:rPr>
          <w:rFonts w:ascii="Arial" w:hAnsi="Arial" w:cs="Arial"/>
          <w:b/>
        </w:rPr>
        <w:t xml:space="preserve"> </w:t>
      </w:r>
      <w:r w:rsidR="002745FB" w:rsidRPr="00A33A02">
        <w:rPr>
          <w:rFonts w:ascii="Arial" w:hAnsi="Arial" w:cs="Arial"/>
        </w:rPr>
        <w:t>(“</w:t>
      </w:r>
      <w:r w:rsidR="002745FB" w:rsidRPr="00A33A02">
        <w:rPr>
          <w:rFonts w:ascii="Arial" w:hAnsi="Arial" w:cs="Arial"/>
          <w:b/>
        </w:rPr>
        <w:t>the Mandatory Standard”</w:t>
      </w:r>
      <w:r w:rsidR="002745FB" w:rsidRPr="00A33A02">
        <w:rPr>
          <w:rFonts w:ascii="Arial" w:hAnsi="Arial" w:cs="Arial"/>
        </w:rPr>
        <w:t>).</w:t>
      </w:r>
    </w:p>
    <w:p w14:paraId="6DD700FA" w14:textId="77777777" w:rsidR="00521551" w:rsidRDefault="00521551" w:rsidP="002745FB">
      <w:pPr>
        <w:spacing w:line="300" w:lineRule="atLeast"/>
        <w:ind w:left="142" w:right="372"/>
        <w:jc w:val="both"/>
        <w:rPr>
          <w:rFonts w:ascii="Arial" w:hAnsi="Arial" w:cs="Arial"/>
        </w:rPr>
      </w:pPr>
    </w:p>
    <w:p w14:paraId="6C4D73CC" w14:textId="77777777" w:rsidR="00521551" w:rsidRPr="00521551" w:rsidRDefault="00521551" w:rsidP="00521551">
      <w:pPr>
        <w:spacing w:line="300" w:lineRule="atLeast"/>
        <w:ind w:left="142" w:right="372"/>
        <w:jc w:val="center"/>
        <w:rPr>
          <w:rFonts w:ascii="Arial" w:hAnsi="Arial" w:cs="Arial"/>
          <w:color w:val="FF0000"/>
        </w:rPr>
      </w:pPr>
      <w:r w:rsidRPr="00521551">
        <w:rPr>
          <w:rFonts w:ascii="Arial" w:hAnsi="Arial" w:cs="Arial"/>
          <w:color w:val="FF0000"/>
        </w:rPr>
        <w:t>By completing this form you are verifying that the products</w:t>
      </w:r>
      <w:r>
        <w:rPr>
          <w:rFonts w:ascii="Arial" w:hAnsi="Arial" w:cs="Arial"/>
          <w:color w:val="FF0000"/>
        </w:rPr>
        <w:t xml:space="preserve"> identified in this form</w:t>
      </w:r>
      <w:r w:rsidRPr="00521551">
        <w:rPr>
          <w:rFonts w:ascii="Arial" w:hAnsi="Arial" w:cs="Arial"/>
          <w:color w:val="FF0000"/>
        </w:rPr>
        <w:t xml:space="preserve"> comply with the Mandatory Standard.</w:t>
      </w:r>
    </w:p>
    <w:p w14:paraId="72605869" w14:textId="25F3A18A" w:rsidR="00521551" w:rsidRDefault="00521551" w:rsidP="002745FB">
      <w:pPr>
        <w:spacing w:line="300" w:lineRule="atLeast"/>
        <w:ind w:left="142" w:right="372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134"/>
      </w:tblGrid>
      <w:tr w:rsidR="00A33CA5" w14:paraId="7384232C" w14:textId="77777777" w:rsidTr="00A33CA5">
        <w:tc>
          <w:tcPr>
            <w:tcW w:w="15134" w:type="dxa"/>
            <w:shd w:val="clear" w:color="auto" w:fill="F2F2F2" w:themeFill="background1" w:themeFillShade="F2"/>
          </w:tcPr>
          <w:p w14:paraId="2AA04C82" w14:textId="77777777" w:rsidR="00A33CA5" w:rsidRDefault="00A33CA5" w:rsidP="00A33CA5">
            <w:pPr>
              <w:spacing w:after="120" w:line="300" w:lineRule="atLeast"/>
              <w:ind w:left="142" w:right="374"/>
              <w:rPr>
                <w:rFonts w:ascii="Arial" w:hAnsi="Arial" w:cs="Arial"/>
                <w:sz w:val="22"/>
                <w:szCs w:val="22"/>
              </w:rPr>
            </w:pPr>
            <w:r w:rsidRPr="0003078F">
              <w:rPr>
                <w:rFonts w:ascii="Arial" w:hAnsi="Arial" w:cs="Arial"/>
                <w:b/>
                <w:sz w:val="22"/>
                <w:szCs w:val="22"/>
              </w:rPr>
              <w:t>What products must comply?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078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03078F">
              <w:rPr>
                <w:rFonts w:ascii="Arial" w:hAnsi="Arial" w:cs="Arial"/>
                <w:sz w:val="22"/>
                <w:szCs w:val="22"/>
              </w:rPr>
              <w:t xml:space="preserve">andatory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03078F">
              <w:rPr>
                <w:rFonts w:ascii="Arial" w:hAnsi="Arial" w:cs="Arial"/>
                <w:sz w:val="22"/>
                <w:szCs w:val="22"/>
              </w:rPr>
              <w:t xml:space="preserve">tandard covers flotation </w:t>
            </w:r>
            <w:r>
              <w:rPr>
                <w:rFonts w:ascii="Arial" w:hAnsi="Arial" w:cs="Arial"/>
                <w:sz w:val="22"/>
                <w:szCs w:val="22"/>
              </w:rPr>
              <w:t>toys and aquatic toys</w:t>
            </w:r>
            <w:r w:rsidRPr="0003078F">
              <w:rPr>
                <w:rFonts w:ascii="Arial" w:hAnsi="Arial" w:cs="Arial"/>
                <w:sz w:val="22"/>
                <w:szCs w:val="22"/>
              </w:rPr>
              <w:t xml:space="preserve"> designed for children under 14 years of age </w:t>
            </w:r>
            <w:r w:rsidRPr="002745FB">
              <w:rPr>
                <w:rFonts w:ascii="Arial" w:hAnsi="Arial" w:cs="Arial"/>
                <w:sz w:val="22"/>
                <w:szCs w:val="22"/>
              </w:rPr>
              <w:t>intended to bear the mass of a child in water, whether inflatable or not; whether or not worn or otherwise attached to the body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9B72D9" w14:textId="77777777" w:rsidR="00A33CA5" w:rsidRPr="005832B3" w:rsidRDefault="00A33CA5" w:rsidP="00A33CA5">
            <w:pPr>
              <w:spacing w:line="300" w:lineRule="atLeast"/>
              <w:ind w:left="142" w:right="372"/>
              <w:rPr>
                <w:rFonts w:ascii="Arial" w:hAnsi="Arial" w:cs="Arial"/>
                <w:u w:val="single"/>
              </w:rPr>
            </w:pPr>
            <w:r w:rsidRPr="005832B3">
              <w:rPr>
                <w:rFonts w:ascii="Arial" w:hAnsi="Arial" w:cs="Arial"/>
                <w:u w:val="single"/>
              </w:rPr>
              <w:t>INCLUDING but not limited to:</w:t>
            </w:r>
          </w:p>
          <w:p w14:paraId="0591B412" w14:textId="77777777" w:rsidR="00A33CA5" w:rsidRPr="005832B3" w:rsidRDefault="00A33CA5" w:rsidP="00A33CA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US" w:eastAsia="en-US"/>
              </w:rPr>
            </w:pPr>
            <w:r w:rsidRPr="005832B3">
              <w:rPr>
                <w:rFonts w:ascii="Arial" w:hAnsi="Arial" w:cs="Arial"/>
                <w:lang w:val="en-US" w:eastAsia="en-US"/>
              </w:rPr>
              <w:t>inflatable novelty shapes;</w:t>
            </w:r>
          </w:p>
          <w:p w14:paraId="41B5C3B9" w14:textId="77777777" w:rsidR="00A33CA5" w:rsidRPr="005832B3" w:rsidRDefault="00A33CA5" w:rsidP="00A33CA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301"/>
              <w:rPr>
                <w:rFonts w:ascii="Arial" w:hAnsi="Arial" w:cs="Arial"/>
                <w:lang w:val="en-US" w:eastAsia="en-US"/>
              </w:rPr>
            </w:pPr>
            <w:r w:rsidRPr="005832B3">
              <w:rPr>
                <w:rFonts w:ascii="Arial" w:hAnsi="Arial" w:cs="Arial"/>
                <w:lang w:val="en-US" w:eastAsia="en-US"/>
              </w:rPr>
              <w:t xml:space="preserve">inflatable toy boats, which </w:t>
            </w:r>
            <w:proofErr w:type="gramStart"/>
            <w:r w:rsidRPr="005832B3">
              <w:rPr>
                <w:rFonts w:ascii="Arial" w:hAnsi="Arial" w:cs="Arial"/>
                <w:lang w:val="en-US" w:eastAsia="en-US"/>
              </w:rPr>
              <w:t>by virtue of</w:t>
            </w:r>
            <w:proofErr w:type="gramEnd"/>
            <w:r w:rsidRPr="005832B3">
              <w:rPr>
                <w:rFonts w:ascii="Arial" w:hAnsi="Arial" w:cs="Arial"/>
                <w:lang w:val="en-US" w:eastAsia="en-US"/>
              </w:rPr>
              <w:t xml:space="preserve"> their size and design are intended for use in shallow water;</w:t>
            </w:r>
          </w:p>
          <w:p w14:paraId="752257FC" w14:textId="77777777" w:rsidR="00A33CA5" w:rsidRPr="005832B3" w:rsidRDefault="00A33CA5" w:rsidP="00A33CA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US" w:eastAsia="en-US"/>
              </w:rPr>
            </w:pPr>
            <w:r w:rsidRPr="005832B3">
              <w:rPr>
                <w:rFonts w:ascii="Arial" w:hAnsi="Arial" w:cs="Arial"/>
                <w:lang w:val="en-US" w:eastAsia="en-US"/>
              </w:rPr>
              <w:t>unattached complete or partial rings;</w:t>
            </w:r>
          </w:p>
          <w:p w14:paraId="41965F33" w14:textId="77777777" w:rsidR="00A33CA5" w:rsidRPr="005832B3" w:rsidRDefault="00A33CA5" w:rsidP="00A33CA5">
            <w:pPr>
              <w:spacing w:line="300" w:lineRule="atLeast"/>
              <w:ind w:left="142" w:right="372"/>
              <w:rPr>
                <w:rFonts w:ascii="Arial" w:hAnsi="Arial" w:cs="Arial"/>
                <w:u w:val="single"/>
              </w:rPr>
            </w:pPr>
          </w:p>
          <w:p w14:paraId="40CEFCB9" w14:textId="77777777" w:rsidR="00A33CA5" w:rsidRPr="005832B3" w:rsidRDefault="00A33CA5" w:rsidP="00A33CA5">
            <w:pPr>
              <w:spacing w:line="300" w:lineRule="atLeast"/>
              <w:ind w:left="142" w:right="372"/>
              <w:rPr>
                <w:rFonts w:ascii="Arial" w:hAnsi="Arial" w:cs="Arial"/>
                <w:u w:val="single"/>
              </w:rPr>
            </w:pPr>
            <w:r w:rsidRPr="005832B3">
              <w:rPr>
                <w:rFonts w:ascii="Arial" w:hAnsi="Arial" w:cs="Arial"/>
                <w:u w:val="single"/>
              </w:rPr>
              <w:t>But NOT including:</w:t>
            </w:r>
          </w:p>
          <w:p w14:paraId="5FC20CD6" w14:textId="77777777" w:rsidR="00A33CA5" w:rsidRPr="005832B3" w:rsidRDefault="00A33CA5" w:rsidP="00A33C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US" w:eastAsia="en-US"/>
              </w:rPr>
            </w:pPr>
            <w:r w:rsidRPr="005832B3">
              <w:rPr>
                <w:rFonts w:ascii="Arial" w:hAnsi="Arial" w:cs="Arial"/>
                <w:lang w:val="en-US" w:eastAsia="en-US"/>
              </w:rPr>
              <w:t>arm bands</w:t>
            </w:r>
          </w:p>
          <w:p w14:paraId="32736075" w14:textId="77777777" w:rsidR="00A33CA5" w:rsidRPr="005832B3" w:rsidRDefault="00A33CA5" w:rsidP="00A33C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US" w:eastAsia="en-US"/>
              </w:rPr>
            </w:pPr>
            <w:r w:rsidRPr="005832B3">
              <w:rPr>
                <w:rFonts w:ascii="Arial" w:hAnsi="Arial" w:cs="Arial"/>
                <w:lang w:val="en-US" w:eastAsia="en-US"/>
              </w:rPr>
              <w:t>beach balls;</w:t>
            </w:r>
          </w:p>
          <w:p w14:paraId="0F4845DE" w14:textId="77777777" w:rsidR="00A33CA5" w:rsidRPr="005832B3" w:rsidRDefault="00A33CA5" w:rsidP="00A33C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US" w:eastAsia="en-US"/>
              </w:rPr>
            </w:pPr>
            <w:r w:rsidRPr="005832B3">
              <w:rPr>
                <w:rFonts w:ascii="Arial" w:hAnsi="Arial" w:cs="Arial"/>
                <w:lang w:val="en-US" w:eastAsia="en-US"/>
              </w:rPr>
              <w:t>surfboards;</w:t>
            </w:r>
          </w:p>
          <w:p w14:paraId="62AD158F" w14:textId="77777777" w:rsidR="00A33CA5" w:rsidRPr="005832B3" w:rsidRDefault="00A33CA5" w:rsidP="00A33C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US" w:eastAsia="en-US"/>
              </w:rPr>
            </w:pPr>
            <w:r w:rsidRPr="005832B3">
              <w:rPr>
                <w:rFonts w:ascii="Arial" w:hAnsi="Arial" w:cs="Arial"/>
                <w:lang w:val="en-US" w:eastAsia="en-US"/>
              </w:rPr>
              <w:t>body/boogie boards;</w:t>
            </w:r>
          </w:p>
          <w:p w14:paraId="25210CD5" w14:textId="77777777" w:rsidR="00A33CA5" w:rsidRPr="005832B3" w:rsidRDefault="00A33CA5" w:rsidP="00A33C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US" w:eastAsia="en-US"/>
              </w:rPr>
            </w:pPr>
            <w:r w:rsidRPr="005832B3">
              <w:rPr>
                <w:rFonts w:ascii="Arial" w:hAnsi="Arial" w:cs="Arial"/>
                <w:lang w:val="en-US" w:eastAsia="en-US"/>
              </w:rPr>
              <w:t>inflatable air beds;</w:t>
            </w:r>
          </w:p>
          <w:p w14:paraId="7FF600D8" w14:textId="77777777" w:rsidR="00A33CA5" w:rsidRPr="005832B3" w:rsidRDefault="00A33CA5" w:rsidP="00A33C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US" w:eastAsia="en-US"/>
              </w:rPr>
            </w:pPr>
            <w:r w:rsidRPr="005832B3">
              <w:rPr>
                <w:rFonts w:ascii="Arial" w:hAnsi="Arial" w:cs="Arial"/>
                <w:lang w:val="en-US" w:eastAsia="en-US"/>
              </w:rPr>
              <w:t xml:space="preserve">inflatable boats, which </w:t>
            </w:r>
            <w:proofErr w:type="gramStart"/>
            <w:r w:rsidRPr="005832B3">
              <w:rPr>
                <w:rFonts w:ascii="Arial" w:hAnsi="Arial" w:cs="Arial"/>
                <w:lang w:val="en-US" w:eastAsia="en-US"/>
              </w:rPr>
              <w:t>by virtue of</w:t>
            </w:r>
            <w:proofErr w:type="gramEnd"/>
            <w:r w:rsidRPr="005832B3">
              <w:rPr>
                <w:rFonts w:ascii="Arial" w:hAnsi="Arial" w:cs="Arial"/>
                <w:lang w:val="en-US" w:eastAsia="en-US"/>
              </w:rPr>
              <w:t xml:space="preserve"> their size and design are intended for use in deep water;</w:t>
            </w:r>
          </w:p>
          <w:p w14:paraId="1B8B6AE3" w14:textId="77777777" w:rsidR="00A33CA5" w:rsidRPr="005832B3" w:rsidRDefault="00A33CA5" w:rsidP="00A33CA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US" w:eastAsia="en-US"/>
              </w:rPr>
            </w:pPr>
            <w:r w:rsidRPr="005832B3">
              <w:rPr>
                <w:rFonts w:ascii="Arial" w:hAnsi="Arial" w:cs="Arial"/>
                <w:lang w:val="en-US" w:eastAsia="en-US"/>
              </w:rPr>
              <w:t>kickboards.</w:t>
            </w:r>
          </w:p>
          <w:p w14:paraId="1FD96F00" w14:textId="62A3EF44" w:rsidR="00A33CA5" w:rsidRPr="00A33CA5" w:rsidRDefault="00A33CA5" w:rsidP="00A33CA5">
            <w:pPr>
              <w:spacing w:after="120" w:line="300" w:lineRule="atLeast"/>
              <w:ind w:left="142" w:right="37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25FA4E" w14:textId="4FC459CB" w:rsidR="00A33CA5" w:rsidRDefault="00A33CA5" w:rsidP="002745FB">
      <w:pPr>
        <w:spacing w:line="300" w:lineRule="atLeast"/>
        <w:ind w:left="142" w:right="372"/>
        <w:jc w:val="both"/>
        <w:rPr>
          <w:rFonts w:ascii="Arial" w:hAnsi="Arial" w:cs="Arial"/>
        </w:rPr>
      </w:pPr>
    </w:p>
    <w:p w14:paraId="3AB58EAC" w14:textId="77777777" w:rsidR="00A33CA5" w:rsidRDefault="00A33CA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5C70D6" w14:textId="77777777" w:rsidR="00A33CA5" w:rsidRDefault="00A33CA5" w:rsidP="00A6561C">
      <w:pPr>
        <w:spacing w:after="60" w:line="300" w:lineRule="atLeast"/>
        <w:ind w:left="142" w:right="374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>Supplier Verificat</w:t>
      </w:r>
      <w:bookmarkStart w:id="0" w:name="_GoBack"/>
      <w:r>
        <w:rPr>
          <w:rFonts w:ascii="Arial" w:hAnsi="Arial" w:cs="Arial"/>
          <w:b/>
          <w:bCs/>
          <w:iCs/>
          <w:sz w:val="28"/>
          <w:szCs w:val="28"/>
        </w:rPr>
        <w:t xml:space="preserve">ion </w:t>
      </w:r>
      <w:bookmarkEnd w:id="0"/>
      <w:r w:rsidRPr="00156E56">
        <w:rPr>
          <w:rFonts w:ascii="Arial" w:hAnsi="Arial" w:cs="Arial"/>
          <w:b/>
          <w:bCs/>
          <w:iCs/>
          <w:sz w:val="28"/>
          <w:szCs w:val="28"/>
        </w:rPr>
        <w:t xml:space="preserve">for </w:t>
      </w:r>
      <w:r>
        <w:rPr>
          <w:rFonts w:ascii="Arial" w:hAnsi="Arial" w:cs="Arial"/>
          <w:b/>
          <w:bCs/>
          <w:iCs/>
          <w:sz w:val="28"/>
          <w:szCs w:val="28"/>
        </w:rPr>
        <w:t>“Flotation and Aquatic Toys”</w:t>
      </w:r>
    </w:p>
    <w:tbl>
      <w:tblPr>
        <w:tblW w:w="15026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953"/>
        <w:gridCol w:w="4536"/>
        <w:gridCol w:w="3261"/>
      </w:tblGrid>
      <w:tr w:rsidR="00A6561C" w14:paraId="1F4BB884" w14:textId="77777777" w:rsidTr="00D3599F">
        <w:trPr>
          <w:cantSplit/>
          <w:trHeight w:hRule="exact"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EFAEC0" w14:textId="77777777" w:rsidR="00A6561C" w:rsidRDefault="00A6561C" w:rsidP="00D3599F">
            <w:pPr>
              <w:spacing w:before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Supplier: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C029" w14:textId="77777777" w:rsidR="00A6561C" w:rsidRDefault="00A6561C" w:rsidP="00A6561C">
            <w:pPr>
              <w:spacing w:before="60" w:after="6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A6561C" w14:paraId="12E0D472" w14:textId="77777777" w:rsidTr="00D3599F">
        <w:trPr>
          <w:cantSplit/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26EB4" w14:textId="77777777" w:rsidR="00A6561C" w:rsidRDefault="00A6561C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C590" w14:textId="77777777" w:rsidR="00A6561C" w:rsidRDefault="00A6561C" w:rsidP="00A6561C">
            <w:pPr>
              <w:spacing w:before="60" w:after="6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Registration Number:</w:t>
            </w:r>
          </w:p>
        </w:tc>
      </w:tr>
      <w:tr w:rsidR="00A6561C" w14:paraId="45231BC9" w14:textId="77777777" w:rsidTr="00D3599F">
        <w:trPr>
          <w:cantSplit/>
          <w:trHeight w:val="4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42D68E" w14:textId="77777777" w:rsidR="00A6561C" w:rsidRDefault="00A6561C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E7D1" w14:textId="77777777" w:rsidR="00A6561C" w:rsidRDefault="00A6561C" w:rsidP="00A6561C">
            <w:pPr>
              <w:spacing w:before="60" w:after="6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A6561C" w14:paraId="6A2ACB03" w14:textId="77777777" w:rsidTr="00D3599F">
        <w:trPr>
          <w:cantSplit/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EDC635" w14:textId="77777777" w:rsidR="00A6561C" w:rsidRDefault="00A6561C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D771" w14:textId="77777777" w:rsidR="00A6561C" w:rsidRDefault="00A6561C" w:rsidP="00A6561C">
            <w:pPr>
              <w:spacing w:before="60" w:after="6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person:</w:t>
            </w:r>
          </w:p>
        </w:tc>
      </w:tr>
      <w:tr w:rsidR="00A6561C" w14:paraId="2901CBBD" w14:textId="77777777" w:rsidTr="00D3599F">
        <w:trPr>
          <w:cantSplit/>
          <w:trHeight w:val="4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BB1E71" w14:textId="77777777" w:rsidR="00A6561C" w:rsidRDefault="00A6561C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7B30" w14:textId="77777777" w:rsidR="00A6561C" w:rsidRDefault="00A6561C" w:rsidP="00A6561C">
            <w:pPr>
              <w:spacing w:before="60" w:after="6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</w:tr>
      <w:tr w:rsidR="00A6561C" w14:paraId="59B7563B" w14:textId="77777777" w:rsidTr="00A6561C">
        <w:trPr>
          <w:cantSplit/>
          <w:trHeight w:val="39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F1C955" w14:textId="77777777" w:rsidR="00A6561C" w:rsidRDefault="00A6561C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C59A26" w14:textId="77777777" w:rsidR="00A6561C" w:rsidRDefault="00A6561C" w:rsidP="00A6561C">
            <w:pPr>
              <w:spacing w:before="60" w:after="6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A6561C" w14:paraId="751DCD2A" w14:textId="77777777" w:rsidTr="00D3599F">
        <w:trPr>
          <w:cantSplit/>
          <w:trHeight w:hRule="exact"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F8A3" w14:textId="77777777" w:rsidR="00A6561C" w:rsidRDefault="00A6561C" w:rsidP="00D3599F">
            <w:pPr>
              <w:spacing w:before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Product: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71F0" w14:textId="77777777" w:rsidR="00A6561C" w:rsidRDefault="00A6561C" w:rsidP="00A6561C">
            <w:pPr>
              <w:spacing w:before="60" w:after="6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Description:</w:t>
            </w:r>
          </w:p>
        </w:tc>
      </w:tr>
      <w:tr w:rsidR="00A6561C" w14:paraId="62ED6BFC" w14:textId="77777777" w:rsidTr="00D3599F">
        <w:trPr>
          <w:cantSplit/>
          <w:trHeight w:val="6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C151" w14:textId="77777777" w:rsidR="00A6561C" w:rsidRDefault="00A6561C" w:rsidP="00D3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FA0C" w14:textId="77777777" w:rsidR="00A6561C" w:rsidRDefault="00A6561C" w:rsidP="00A6561C">
            <w:pPr>
              <w:spacing w:before="60" w:after="6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Identifiers:</w:t>
            </w:r>
          </w:p>
        </w:tc>
      </w:tr>
      <w:tr w:rsidR="00A6561C" w14:paraId="64071678" w14:textId="77777777" w:rsidTr="00D3599F">
        <w:trPr>
          <w:cantSplit/>
          <w:trHeight w:val="3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8347" w14:textId="77777777" w:rsidR="00A6561C" w:rsidRDefault="00A6561C" w:rsidP="00A6561C">
            <w:pPr>
              <w:spacing w:before="120" w:after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Authority: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27BD" w14:textId="77777777" w:rsidR="00A6561C" w:rsidRDefault="00A6561C" w:rsidP="00A6561C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5B8C" w14:textId="77777777" w:rsidR="00A6561C" w:rsidRDefault="00A6561C" w:rsidP="00A6561C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D431" w14:textId="77777777" w:rsidR="00A6561C" w:rsidRDefault="00A6561C" w:rsidP="00A6561C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           /            /</w:t>
            </w:r>
          </w:p>
        </w:tc>
      </w:tr>
    </w:tbl>
    <w:p w14:paraId="5763E244" w14:textId="77777777" w:rsidR="00A6561C" w:rsidRPr="00942125" w:rsidRDefault="00A6561C" w:rsidP="00942125">
      <w:pPr>
        <w:spacing w:line="300" w:lineRule="atLeast"/>
        <w:ind w:left="142" w:right="37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5026" w:type="dxa"/>
        <w:tblInd w:w="250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8"/>
        <w:gridCol w:w="236"/>
        <w:gridCol w:w="2032"/>
      </w:tblGrid>
      <w:tr w:rsidR="00C83481" w:rsidRPr="009F6476" w14:paraId="23BDA608" w14:textId="77777777" w:rsidTr="00940B79">
        <w:trPr>
          <w:cantSplit/>
          <w:tblHeader/>
        </w:trPr>
        <w:tc>
          <w:tcPr>
            <w:tcW w:w="12758" w:type="dxa"/>
            <w:tcBorders>
              <w:right w:val="single" w:sz="4" w:space="0" w:color="auto"/>
            </w:tcBorders>
          </w:tcPr>
          <w:p w14:paraId="1AF1803D" w14:textId="2D883B1A" w:rsidR="00C83481" w:rsidRPr="006C402A" w:rsidRDefault="0036144F" w:rsidP="00A6561C">
            <w:pPr>
              <w:tabs>
                <w:tab w:val="center" w:pos="6271"/>
                <w:tab w:val="left" w:pos="774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31639">
              <w:rPr>
                <w:rFonts w:ascii="Arial" w:hAnsi="Arial" w:cs="Arial"/>
                <w:b/>
                <w:sz w:val="22"/>
                <w:szCs w:val="22"/>
              </w:rPr>
              <w:t xml:space="preserve">Supplier </w:t>
            </w:r>
            <w:r w:rsidR="00942125">
              <w:rPr>
                <w:rFonts w:ascii="Arial" w:hAnsi="Arial" w:cs="Arial"/>
                <w:b/>
                <w:sz w:val="22"/>
                <w:szCs w:val="22"/>
              </w:rPr>
              <w:t>Verification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5F0E" w14:textId="77777777" w:rsidR="00C83481" w:rsidRPr="006C402A" w:rsidRDefault="00C83481" w:rsidP="00A6561C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left w:val="single" w:sz="4" w:space="0" w:color="auto"/>
              <w:bottom w:val="single" w:sz="6" w:space="0" w:color="auto"/>
            </w:tcBorders>
          </w:tcPr>
          <w:p w14:paraId="24386D16" w14:textId="38534B90" w:rsidR="00C83481" w:rsidRPr="006C402A" w:rsidRDefault="008B0962" w:rsidP="00A65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Tick if </w:t>
            </w:r>
            <w:r w:rsidR="00C83481">
              <w:rPr>
                <w:rFonts w:ascii="Arial" w:hAnsi="Arial" w:cs="Arial"/>
                <w:b/>
                <w:sz w:val="22"/>
                <w:szCs w:val="22"/>
              </w:rPr>
              <w:t>Complies</w:t>
            </w:r>
          </w:p>
        </w:tc>
      </w:tr>
      <w:tr w:rsidR="008B0962" w:rsidRPr="009F6476" w14:paraId="79BA6A08" w14:textId="77777777" w:rsidTr="00940B79">
        <w:trPr>
          <w:cantSplit/>
          <w:trHeight w:val="579"/>
        </w:trPr>
        <w:tc>
          <w:tcPr>
            <w:tcW w:w="12758" w:type="dxa"/>
            <w:tcBorders>
              <w:bottom w:val="single" w:sz="4" w:space="0" w:color="auto"/>
              <w:right w:val="single" w:sz="4" w:space="0" w:color="auto"/>
            </w:tcBorders>
          </w:tcPr>
          <w:p w14:paraId="3D974DDC" w14:textId="77777777" w:rsidR="008B0962" w:rsidRPr="006C402A" w:rsidRDefault="008B0962" w:rsidP="0011704A">
            <w:pPr>
              <w:tabs>
                <w:tab w:val="left" w:pos="1108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Complies with Mandatory Standard –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2168B">
              <w:rPr>
                <w:rFonts w:ascii="Arial" w:hAnsi="Arial" w:cs="Arial"/>
                <w:sz w:val="22"/>
                <w:szCs w:val="22"/>
              </w:rPr>
              <w:t xml:space="preserve">onfirmation </w:t>
            </w:r>
            <w:r>
              <w:rPr>
                <w:rFonts w:ascii="Arial" w:hAnsi="Arial" w:cs="Arial"/>
                <w:sz w:val="22"/>
                <w:szCs w:val="22"/>
              </w:rPr>
              <w:t>that</w:t>
            </w:r>
            <w:r w:rsidRPr="00E2168B">
              <w:rPr>
                <w:rFonts w:ascii="Arial" w:hAnsi="Arial" w:cs="Arial"/>
                <w:sz w:val="22"/>
                <w:szCs w:val="22"/>
              </w:rPr>
              <w:t xml:space="preserve"> t</w:t>
            </w:r>
            <w:r>
              <w:rPr>
                <w:rFonts w:ascii="Arial" w:hAnsi="Arial" w:cs="Arial"/>
                <w:sz w:val="22"/>
                <w:szCs w:val="22"/>
              </w:rPr>
              <w:t>he</w:t>
            </w:r>
            <w:r w:rsidRPr="00E216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product complies with the Mandatory Standard.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B94D" w14:textId="77777777" w:rsidR="008B0962" w:rsidRPr="006C402A" w:rsidRDefault="008B0962" w:rsidP="001170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AAA5" w14:textId="77777777" w:rsidR="008B0962" w:rsidRPr="006C402A" w:rsidRDefault="008B0962" w:rsidP="0011704A">
            <w:pPr>
              <w:ind w:right="-1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8B0962" w:rsidRPr="009F6476" w14:paraId="7056246A" w14:textId="77777777" w:rsidTr="00A6561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5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F82B1CF" w14:textId="77777777" w:rsidR="008B0962" w:rsidRPr="00143C55" w:rsidRDefault="008B0962" w:rsidP="0011704A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Labelling on product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r w:rsidRPr="000B42AF">
              <w:rPr>
                <w:rFonts w:ascii="Arial" w:hAnsi="Arial" w:cs="Arial"/>
                <w:sz w:val="22"/>
                <w:szCs w:val="22"/>
              </w:rPr>
              <w:t xml:space="preserve">A visual inspection of the </w:t>
            </w:r>
            <w:r>
              <w:rPr>
                <w:rFonts w:ascii="Arial" w:hAnsi="Arial" w:cs="Arial"/>
                <w:sz w:val="22"/>
                <w:szCs w:val="22"/>
              </w:rPr>
              <w:t>product</w:t>
            </w:r>
            <w:r w:rsidRPr="008767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has been conducted that confirms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he following: warning is</w:t>
            </w:r>
            <w:r w:rsidRPr="00C7093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permanently and conspicuously marked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on the product itself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2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3EC4A9C" w14:textId="77777777" w:rsidR="008B0962" w:rsidRPr="006C402A" w:rsidRDefault="008B0962" w:rsidP="001170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AF7189E" w14:textId="77777777" w:rsidR="008B0962" w:rsidRPr="006C402A" w:rsidRDefault="008B0962" w:rsidP="0011704A">
            <w:pPr>
              <w:ind w:right="-18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962" w:rsidRPr="009F6476" w14:paraId="28684140" w14:textId="77777777" w:rsidTr="00940B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5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BFD79E" w14:textId="77777777" w:rsidR="008B0962" w:rsidRDefault="008B0962" w:rsidP="0011704A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2" w:hanging="42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24B2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following </w:t>
            </w:r>
            <w:r w:rsidRPr="00424B28">
              <w:rPr>
                <w:rFonts w:ascii="Arial" w:hAnsi="Arial" w:cs="Arial"/>
                <w:sz w:val="22"/>
                <w:szCs w:val="22"/>
              </w:rPr>
              <w:t>warning statement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appears on the toy:</w:t>
            </w:r>
            <w:r w:rsidRPr="00424B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BF8B75" w14:textId="77777777" w:rsidR="008B0962" w:rsidRDefault="008B0962" w:rsidP="001170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17C1">
              <w:rPr>
                <w:rFonts w:ascii="Arial" w:hAnsi="Arial" w:cs="Arial"/>
                <w:b/>
                <w:sz w:val="18"/>
                <w:szCs w:val="18"/>
              </w:rPr>
              <w:t>WARNING</w:t>
            </w:r>
          </w:p>
          <w:p w14:paraId="0C55F727" w14:textId="77777777" w:rsidR="008B0962" w:rsidRPr="005F17C1" w:rsidRDefault="008B0962" w:rsidP="001170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AQUATIC TOY</w:t>
            </w:r>
          </w:p>
          <w:p w14:paraId="58F73901" w14:textId="77777777" w:rsidR="008B0962" w:rsidRPr="00485B3C" w:rsidRDefault="008B0962" w:rsidP="001170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7C1">
              <w:rPr>
                <w:rFonts w:ascii="Arial" w:hAnsi="Arial" w:cs="Arial"/>
                <w:b/>
                <w:sz w:val="18"/>
                <w:szCs w:val="18"/>
              </w:rPr>
              <w:t>USE ONLY UNDER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17C1">
              <w:rPr>
                <w:rFonts w:ascii="Arial" w:hAnsi="Arial" w:cs="Arial"/>
                <w:b/>
                <w:sz w:val="18"/>
                <w:szCs w:val="18"/>
              </w:rPr>
              <w:t>SUPERVISION</w:t>
            </w:r>
          </w:p>
        </w:tc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52D127" w14:textId="77777777" w:rsidR="008B0962" w:rsidRPr="006C402A" w:rsidRDefault="008B0962" w:rsidP="001170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2E8D53" w14:textId="77777777" w:rsidR="008B0962" w:rsidRPr="001931A0" w:rsidRDefault="008B0962" w:rsidP="0011704A">
            <w:pPr>
              <w:ind w:right="-187"/>
              <w:jc w:val="center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</w:tr>
      <w:tr w:rsidR="008B0962" w:rsidRPr="009F6476" w14:paraId="34672C76" w14:textId="77777777" w:rsidTr="00940B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1275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F6C9" w14:textId="77777777" w:rsidR="008B0962" w:rsidRPr="00FB1AE7" w:rsidRDefault="008B0962" w:rsidP="0011704A">
            <w:pPr>
              <w:numPr>
                <w:ilvl w:val="4"/>
                <w:numId w:val="24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ind w:left="879" w:hanging="425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above warning is in</w:t>
            </w:r>
            <w:r w:rsidRPr="00424B28">
              <w:rPr>
                <w:rFonts w:ascii="Arial" w:hAnsi="Arial" w:cs="Arial"/>
                <w:sz w:val="22"/>
                <w:szCs w:val="22"/>
              </w:rPr>
              <w:t xml:space="preserve"> BLOCK CAPIT</w:t>
            </w:r>
            <w:r>
              <w:rPr>
                <w:rFonts w:ascii="Arial" w:hAnsi="Arial" w:cs="Arial"/>
                <w:sz w:val="22"/>
                <w:szCs w:val="22"/>
              </w:rPr>
              <w:t>ALS no less than 6mm high:</w:t>
            </w:r>
          </w:p>
        </w:tc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623F" w14:textId="77777777" w:rsidR="008B0962" w:rsidRPr="006C402A" w:rsidRDefault="008B0962" w:rsidP="001170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F3EF" w14:textId="77777777" w:rsidR="008B0962" w:rsidRPr="001931A0" w:rsidRDefault="008B0962" w:rsidP="0011704A">
            <w:pPr>
              <w:ind w:right="-187"/>
              <w:jc w:val="center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</w:tr>
      <w:tr w:rsidR="008B0962" w:rsidRPr="009F6476" w14:paraId="0E0FF65E" w14:textId="77777777" w:rsidTr="00940B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5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702C" w14:textId="77777777" w:rsidR="008B0962" w:rsidRPr="00FB1AE7" w:rsidRDefault="008B0962" w:rsidP="0011704A">
            <w:pPr>
              <w:numPr>
                <w:ilvl w:val="4"/>
                <w:numId w:val="24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ind w:left="879" w:hanging="425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above warning is </w:t>
            </w:r>
            <w:r w:rsidRPr="00424B28">
              <w:rPr>
                <w:rFonts w:ascii="Arial" w:hAnsi="Arial" w:cs="Arial"/>
                <w:sz w:val="22"/>
                <w:szCs w:val="22"/>
              </w:rPr>
              <w:t>in a colour contrasting with background</w:t>
            </w:r>
          </w:p>
        </w:tc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48DD" w14:textId="77777777" w:rsidR="008B0962" w:rsidRPr="006C402A" w:rsidRDefault="008B0962" w:rsidP="001170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09F3" w14:textId="77777777" w:rsidR="008B0962" w:rsidRPr="001931A0" w:rsidRDefault="008B0962" w:rsidP="0011704A">
            <w:pPr>
              <w:ind w:right="-187"/>
              <w:jc w:val="center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</w:tr>
      <w:tr w:rsidR="008B0962" w:rsidRPr="009F6476" w14:paraId="6D8DBECA" w14:textId="77777777" w:rsidTr="00940B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5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2036" w14:textId="77777777" w:rsidR="008B0962" w:rsidRPr="00FB1AE7" w:rsidRDefault="008B0962" w:rsidP="0011704A">
            <w:pPr>
              <w:numPr>
                <w:ilvl w:val="4"/>
                <w:numId w:val="24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ind w:left="879" w:hanging="425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are no </w:t>
            </w:r>
            <w:r w:rsidRPr="00B80B74">
              <w:rPr>
                <w:rFonts w:ascii="Arial" w:hAnsi="Arial" w:cs="Arial"/>
                <w:sz w:val="22"/>
                <w:szCs w:val="22"/>
              </w:rPr>
              <w:t xml:space="preserve">advertising or graphics </w:t>
            </w:r>
            <w:r>
              <w:rPr>
                <w:rFonts w:ascii="Arial" w:hAnsi="Arial" w:cs="Arial"/>
                <w:sz w:val="22"/>
                <w:szCs w:val="22"/>
              </w:rPr>
              <w:t>that</w:t>
            </w:r>
            <w:r w:rsidRPr="00B80B74">
              <w:rPr>
                <w:rFonts w:ascii="Arial" w:hAnsi="Arial" w:cs="Arial"/>
                <w:sz w:val="22"/>
                <w:szCs w:val="22"/>
              </w:rPr>
              <w:t xml:space="preserve"> state or imply that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80B74">
              <w:rPr>
                <w:rFonts w:ascii="Arial" w:hAnsi="Arial" w:cs="Arial"/>
                <w:sz w:val="22"/>
                <w:szCs w:val="22"/>
              </w:rPr>
              <w:t xml:space="preserve"> child will be safe if left unsupervised</w:t>
            </w:r>
          </w:p>
        </w:tc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639A" w14:textId="77777777" w:rsidR="008B0962" w:rsidRPr="006C402A" w:rsidRDefault="008B0962" w:rsidP="001170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D653" w14:textId="77777777" w:rsidR="008B0962" w:rsidRPr="001931A0" w:rsidRDefault="008B0962" w:rsidP="0011704A">
            <w:pPr>
              <w:ind w:right="-187"/>
              <w:jc w:val="center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</w:tr>
      <w:tr w:rsidR="008B0962" w:rsidRPr="009F6476" w14:paraId="626A54D4" w14:textId="77777777" w:rsidTr="00940B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58" w:type="dxa"/>
            <w:tcBorders>
              <w:bottom w:val="dashSmallGap" w:sz="4" w:space="0" w:color="auto"/>
            </w:tcBorders>
          </w:tcPr>
          <w:p w14:paraId="71DD4464" w14:textId="77777777" w:rsidR="008B0962" w:rsidRPr="002745FB" w:rsidRDefault="008B0962" w:rsidP="0011704A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Valves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r w:rsidRPr="000B42AF">
              <w:rPr>
                <w:rFonts w:ascii="Arial" w:hAnsi="Arial" w:cs="Arial"/>
                <w:sz w:val="22"/>
                <w:szCs w:val="22"/>
              </w:rPr>
              <w:t xml:space="preserve">A visual inspection of the </w:t>
            </w:r>
            <w:r>
              <w:rPr>
                <w:rFonts w:ascii="Arial" w:hAnsi="Arial" w:cs="Arial"/>
                <w:sz w:val="22"/>
                <w:szCs w:val="22"/>
              </w:rPr>
              <w:t>product</w:t>
            </w:r>
            <w:r w:rsidRPr="008767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has been conducted that confirms:</w:t>
            </w:r>
          </w:p>
        </w:tc>
        <w:tc>
          <w:tcPr>
            <w:tcW w:w="236" w:type="dxa"/>
            <w:tcBorders>
              <w:bottom w:val="dashSmallGap" w:sz="4" w:space="0" w:color="auto"/>
            </w:tcBorders>
          </w:tcPr>
          <w:p w14:paraId="509597A7" w14:textId="77777777" w:rsidR="008B0962" w:rsidRPr="006C402A" w:rsidRDefault="008B0962" w:rsidP="001170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dashSmallGap" w:sz="4" w:space="0" w:color="auto"/>
            </w:tcBorders>
          </w:tcPr>
          <w:p w14:paraId="15E7CE18" w14:textId="77777777" w:rsidR="008B0962" w:rsidRPr="006C402A" w:rsidRDefault="008B0962" w:rsidP="0011704A">
            <w:pPr>
              <w:ind w:right="-18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962" w:rsidRPr="009F6476" w14:paraId="79A0095E" w14:textId="77777777" w:rsidTr="00940B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"/>
        </w:trPr>
        <w:tc>
          <w:tcPr>
            <w:tcW w:w="127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452781" w14:textId="77777777" w:rsidR="008B0962" w:rsidRPr="002745FB" w:rsidRDefault="008B0962" w:rsidP="0011704A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ind w:left="432" w:hanging="426"/>
              <w:textAlignment w:val="baseline"/>
              <w:rPr>
                <w:rFonts w:ascii="Arial" w:hAnsi="Arial" w:cs="ArialMT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here </w:t>
            </w:r>
            <w:r w:rsidRPr="002745FB">
              <w:rPr>
                <w:rFonts w:ascii="Arial" w:hAnsi="Arial" w:cs="Arial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80B74">
              <w:rPr>
                <w:rFonts w:ascii="Arial" w:hAnsi="Arial" w:cs="ArialMT"/>
                <w:b/>
                <w:sz w:val="22"/>
                <w:szCs w:val="22"/>
              </w:rPr>
              <w:t>non-return valves</w:t>
            </w:r>
            <w:r>
              <w:rPr>
                <w:rFonts w:ascii="Arial" w:hAnsi="Arial" w:cs="ArialMT"/>
                <w:sz w:val="22"/>
                <w:szCs w:val="22"/>
              </w:rPr>
              <w:t xml:space="preserve"> with </w:t>
            </w:r>
            <w:r w:rsidRPr="00B80B74">
              <w:rPr>
                <w:rFonts w:ascii="Arial" w:hAnsi="Arial" w:cs="ArialMT"/>
                <w:b/>
                <w:sz w:val="22"/>
                <w:szCs w:val="22"/>
              </w:rPr>
              <w:t>stoppers permanently attached</w:t>
            </w:r>
            <w:r>
              <w:rPr>
                <w:rFonts w:ascii="Arial" w:hAnsi="Arial" w:cs="ArialMT"/>
                <w:sz w:val="22"/>
                <w:szCs w:val="22"/>
              </w:rPr>
              <w:t xml:space="preserve"> to th</w:t>
            </w:r>
            <w:r w:rsidRPr="005E109F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MT"/>
                <w:sz w:val="22"/>
                <w:szCs w:val="22"/>
              </w:rPr>
              <w:t xml:space="preserve"> toy</w:t>
            </w:r>
          </w:p>
        </w:tc>
        <w:tc>
          <w:tcPr>
            <w:tcW w:w="2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093537" w14:textId="77777777" w:rsidR="008B0962" w:rsidRPr="006C402A" w:rsidRDefault="008B0962" w:rsidP="001170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4B3F0B" w14:textId="77777777" w:rsidR="008B0962" w:rsidRPr="001931A0" w:rsidRDefault="008B0962" w:rsidP="0011704A">
            <w:pPr>
              <w:ind w:right="-187"/>
              <w:jc w:val="center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</w:tr>
      <w:tr w:rsidR="008B0962" w:rsidRPr="009F6476" w14:paraId="0676E717" w14:textId="77777777" w:rsidTr="00940B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58" w:type="dxa"/>
            <w:tcBorders>
              <w:top w:val="dashSmallGap" w:sz="4" w:space="0" w:color="auto"/>
            </w:tcBorders>
          </w:tcPr>
          <w:p w14:paraId="0B9441F4" w14:textId="77777777" w:rsidR="008B0962" w:rsidRPr="00143C55" w:rsidRDefault="008B0962" w:rsidP="0011704A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after="120"/>
              <w:ind w:left="431" w:hanging="425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MT"/>
                <w:sz w:val="22"/>
                <w:szCs w:val="22"/>
              </w:rPr>
              <w:t xml:space="preserve">the stopper is be capable of being pushed in to the toy so that it does </w:t>
            </w:r>
            <w:r w:rsidRPr="00B80B74">
              <w:rPr>
                <w:rFonts w:ascii="Arial" w:hAnsi="Arial" w:cs="ArialMT"/>
                <w:b/>
                <w:sz w:val="22"/>
                <w:szCs w:val="22"/>
              </w:rPr>
              <w:t xml:space="preserve">not stand more than 5 mm from the </w:t>
            </w:r>
            <w:r>
              <w:rPr>
                <w:rFonts w:ascii="Arial" w:hAnsi="Arial" w:cs="ArialMT"/>
                <w:b/>
                <w:sz w:val="22"/>
                <w:szCs w:val="22"/>
              </w:rPr>
              <w:t>s</w:t>
            </w:r>
            <w:r w:rsidRPr="00B80B74">
              <w:rPr>
                <w:rFonts w:ascii="Arial" w:hAnsi="Arial" w:cs="ArialMT"/>
                <w:b/>
                <w:sz w:val="22"/>
                <w:szCs w:val="22"/>
              </w:rPr>
              <w:t>urface</w:t>
            </w:r>
            <w:r>
              <w:rPr>
                <w:rFonts w:ascii="Arial" w:hAnsi="Arial" w:cs="ArialMT"/>
                <w:sz w:val="22"/>
                <w:szCs w:val="22"/>
              </w:rPr>
              <w:t xml:space="preserve"> of the toy when the toy </w:t>
            </w:r>
            <w:r w:rsidRPr="002745FB">
              <w:rPr>
                <w:rFonts w:ascii="Arial" w:hAnsi="Arial" w:cs="Arial"/>
                <w:sz w:val="22"/>
                <w:szCs w:val="22"/>
              </w:rPr>
              <w:t>is</w:t>
            </w:r>
            <w:r>
              <w:rPr>
                <w:rFonts w:ascii="Arial" w:hAnsi="Arial" w:cs="ArialMT"/>
                <w:sz w:val="22"/>
                <w:szCs w:val="22"/>
              </w:rPr>
              <w:t xml:space="preserve"> inflated</w:t>
            </w:r>
          </w:p>
        </w:tc>
        <w:tc>
          <w:tcPr>
            <w:tcW w:w="236" w:type="dxa"/>
            <w:tcBorders>
              <w:top w:val="dashSmallGap" w:sz="4" w:space="0" w:color="auto"/>
            </w:tcBorders>
          </w:tcPr>
          <w:p w14:paraId="51B2E935" w14:textId="77777777" w:rsidR="008B0962" w:rsidRPr="006C402A" w:rsidRDefault="008B0962" w:rsidP="001170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dashSmallGap" w:sz="4" w:space="0" w:color="auto"/>
            </w:tcBorders>
            <w:vAlign w:val="center"/>
          </w:tcPr>
          <w:p w14:paraId="57A97F9A" w14:textId="77777777" w:rsidR="008B0962" w:rsidRPr="001931A0" w:rsidRDefault="008B0962" w:rsidP="0011704A">
            <w:pPr>
              <w:ind w:right="-187"/>
              <w:jc w:val="center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</w:tr>
    </w:tbl>
    <w:p w14:paraId="1A8C060B" w14:textId="77777777" w:rsidR="0015470B" w:rsidRPr="0011704A" w:rsidRDefault="0015470B" w:rsidP="0011704A">
      <w:pPr>
        <w:rPr>
          <w:sz w:val="4"/>
          <w:szCs w:val="4"/>
        </w:rPr>
      </w:pPr>
    </w:p>
    <w:sectPr w:rsidR="0015470B" w:rsidRPr="0011704A" w:rsidSect="00A6561C">
      <w:footerReference w:type="default" r:id="rId8"/>
      <w:footerReference w:type="first" r:id="rId9"/>
      <w:pgSz w:w="16838" w:h="11906" w:orient="landscape" w:code="9"/>
      <w:pgMar w:top="426" w:right="720" w:bottom="284" w:left="720" w:header="709" w:footer="34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8DBD6" w14:textId="77777777" w:rsidR="002C014F" w:rsidRDefault="002C014F" w:rsidP="00304C83">
      <w:r>
        <w:separator/>
      </w:r>
    </w:p>
  </w:endnote>
  <w:endnote w:type="continuationSeparator" w:id="0">
    <w:p w14:paraId="599EFFBB" w14:textId="77777777" w:rsidR="002C014F" w:rsidRDefault="002C014F" w:rsidP="0030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04996067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788284163"/>
          <w:docPartObj>
            <w:docPartGallery w:val="Page Numbers (Top of Page)"/>
            <w:docPartUnique/>
          </w:docPartObj>
        </w:sdtPr>
        <w:sdtContent>
          <w:p w14:paraId="121D2DCB" w14:textId="03373E52" w:rsidR="0011704A" w:rsidRPr="00A6561C" w:rsidRDefault="00A6561C" w:rsidP="00A6561C">
            <w:pPr>
              <w:pStyle w:val="Footer"/>
              <w:tabs>
                <w:tab w:val="clear" w:pos="4513"/>
                <w:tab w:val="clear" w:pos="9026"/>
                <w:tab w:val="left" w:pos="7797"/>
                <w:tab w:val="right" w:pos="15168"/>
              </w:tabs>
              <w:ind w:left="142" w:right="2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766022A" wp14:editId="1F6E00E4">
                  <wp:extent cx="657225" cy="180975"/>
                  <wp:effectExtent l="0" t="0" r="9525" b="9525"/>
                  <wp:docPr id="3" name="Picture 3" descr="Logo_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© Watchdog Compliance Pty Ltd</w:t>
            </w:r>
            <w:r>
              <w:rPr>
                <w:rFonts w:ascii="Arial" w:hAnsi="Arial" w:cs="Arial"/>
                <w:sz w:val="22"/>
                <w:szCs w:val="22"/>
              </w:rPr>
              <w:tab/>
              <w:t>Version 18.10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50805278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69251704"/>
          <w:docPartObj>
            <w:docPartGallery w:val="Page Numbers (Top of Page)"/>
            <w:docPartUnique/>
          </w:docPartObj>
        </w:sdtPr>
        <w:sdtContent>
          <w:p w14:paraId="360BA7E6" w14:textId="4AFC5298" w:rsidR="0011704A" w:rsidRPr="00A6561C" w:rsidRDefault="00A6561C" w:rsidP="00A6561C">
            <w:pPr>
              <w:pStyle w:val="Footer"/>
              <w:tabs>
                <w:tab w:val="clear" w:pos="4513"/>
                <w:tab w:val="clear" w:pos="9026"/>
                <w:tab w:val="left" w:pos="7797"/>
                <w:tab w:val="right" w:pos="15168"/>
              </w:tabs>
              <w:ind w:left="142" w:right="2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FA81B74" wp14:editId="4F32080F">
                  <wp:extent cx="657225" cy="180975"/>
                  <wp:effectExtent l="0" t="0" r="9525" b="9525"/>
                  <wp:docPr id="4" name="Picture 4" descr="Logo_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© Watchdog Compliance Pty Ltd</w:t>
            </w:r>
            <w:r>
              <w:rPr>
                <w:rFonts w:ascii="Arial" w:hAnsi="Arial" w:cs="Arial"/>
                <w:sz w:val="22"/>
                <w:szCs w:val="22"/>
              </w:rPr>
              <w:tab/>
              <w:t>Version 18.10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BC343" w14:textId="77777777" w:rsidR="002C014F" w:rsidRDefault="002C014F" w:rsidP="00304C83">
      <w:r>
        <w:separator/>
      </w:r>
    </w:p>
  </w:footnote>
  <w:footnote w:type="continuationSeparator" w:id="0">
    <w:p w14:paraId="169A1064" w14:textId="77777777" w:rsidR="002C014F" w:rsidRDefault="002C014F" w:rsidP="0030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7A62"/>
    <w:multiLevelType w:val="hybridMultilevel"/>
    <w:tmpl w:val="6218A38E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063A40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DD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sz w:val="2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30402"/>
    <w:multiLevelType w:val="hybridMultilevel"/>
    <w:tmpl w:val="EEBC2AD8"/>
    <w:lvl w:ilvl="0" w:tplc="0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10860849"/>
    <w:multiLevelType w:val="hybridMultilevel"/>
    <w:tmpl w:val="75526E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8C0C21"/>
    <w:multiLevelType w:val="hybridMultilevel"/>
    <w:tmpl w:val="ED243B28"/>
    <w:lvl w:ilvl="0" w:tplc="436007AE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1468D3"/>
    <w:multiLevelType w:val="multilevel"/>
    <w:tmpl w:val="0F0EC90E"/>
    <w:styleLink w:val="FCListNo"/>
    <w:lvl w:ilvl="0">
      <w:start w:val="1"/>
      <w:numFmt w:val="decimal"/>
      <w:lvlRestart w:val="0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numFmt w:val="none"/>
      <w:lvlRestart w:val="0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5" w15:restartNumberingAfterBreak="0">
    <w:nsid w:val="1F995F2C"/>
    <w:multiLevelType w:val="multilevel"/>
    <w:tmpl w:val="D3B8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46953"/>
    <w:multiLevelType w:val="hybridMultilevel"/>
    <w:tmpl w:val="B1823C3A"/>
    <w:lvl w:ilvl="0" w:tplc="70063A40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E6A6B"/>
    <w:multiLevelType w:val="hybridMultilevel"/>
    <w:tmpl w:val="AAE20A04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063A40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/>
        <w:sz w:val="2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BA79B4"/>
    <w:multiLevelType w:val="hybridMultilevel"/>
    <w:tmpl w:val="91EA261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46B3032"/>
    <w:multiLevelType w:val="hybridMultilevel"/>
    <w:tmpl w:val="4328CF2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57D3A97"/>
    <w:multiLevelType w:val="hybridMultilevel"/>
    <w:tmpl w:val="D0CCA86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7033D81"/>
    <w:multiLevelType w:val="hybridMultilevel"/>
    <w:tmpl w:val="9236ACE0"/>
    <w:lvl w:ilvl="0" w:tplc="ED543A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96B08BD8">
      <w:start w:val="3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C863AC"/>
    <w:multiLevelType w:val="hybridMultilevel"/>
    <w:tmpl w:val="040C7B1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32116BC"/>
    <w:multiLevelType w:val="hybridMultilevel"/>
    <w:tmpl w:val="AB58F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F6C36"/>
    <w:multiLevelType w:val="hybridMultilevel"/>
    <w:tmpl w:val="65AE1C84"/>
    <w:lvl w:ilvl="0" w:tplc="70063A40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817A7"/>
    <w:multiLevelType w:val="multilevel"/>
    <w:tmpl w:val="0F0EC90E"/>
    <w:numStyleLink w:val="FCListNo"/>
  </w:abstractNum>
  <w:abstractNum w:abstractNumId="16" w15:restartNumberingAfterBreak="0">
    <w:nsid w:val="4EE01B64"/>
    <w:multiLevelType w:val="multilevel"/>
    <w:tmpl w:val="DE88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UNumbe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0D676A6"/>
    <w:multiLevelType w:val="hybridMultilevel"/>
    <w:tmpl w:val="0AACAB6E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7243EB0"/>
    <w:multiLevelType w:val="hybridMultilevel"/>
    <w:tmpl w:val="497E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118C9"/>
    <w:multiLevelType w:val="hybridMultilevel"/>
    <w:tmpl w:val="FD3447BC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C14CB2"/>
    <w:multiLevelType w:val="hybridMultilevel"/>
    <w:tmpl w:val="D110F4C6"/>
    <w:lvl w:ilvl="0" w:tplc="36086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73E0C"/>
    <w:multiLevelType w:val="hybridMultilevel"/>
    <w:tmpl w:val="454254D2"/>
    <w:lvl w:ilvl="0" w:tplc="19FACD4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AF5710"/>
    <w:multiLevelType w:val="hybridMultilevel"/>
    <w:tmpl w:val="D99CF064"/>
    <w:lvl w:ilvl="0" w:tplc="61928D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73CE7BD1"/>
    <w:multiLevelType w:val="hybridMultilevel"/>
    <w:tmpl w:val="C6846BD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4"/>
  </w:num>
  <w:num w:numId="5">
    <w:abstractNumId w:val="17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22"/>
  </w:num>
  <w:num w:numId="12">
    <w:abstractNumId w:val="21"/>
  </w:num>
  <w:num w:numId="13">
    <w:abstractNumId w:val="23"/>
  </w:num>
  <w:num w:numId="14">
    <w:abstractNumId w:val="1"/>
  </w:num>
  <w:num w:numId="15">
    <w:abstractNumId w:val="11"/>
  </w:num>
  <w:num w:numId="16">
    <w:abstractNumId w:val="12"/>
  </w:num>
  <w:num w:numId="17">
    <w:abstractNumId w:val="13"/>
  </w:num>
  <w:num w:numId="18">
    <w:abstractNumId w:val="18"/>
  </w:num>
  <w:num w:numId="19">
    <w:abstractNumId w:val="9"/>
  </w:num>
  <w:num w:numId="20">
    <w:abstractNumId w:val="20"/>
  </w:num>
  <w:num w:numId="21">
    <w:abstractNumId w:val="4"/>
  </w:num>
  <w:num w:numId="22">
    <w:abstractNumId w:val="15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B77"/>
    <w:rsid w:val="00002CD6"/>
    <w:rsid w:val="000037A4"/>
    <w:rsid w:val="00004FD3"/>
    <w:rsid w:val="000073C3"/>
    <w:rsid w:val="00012933"/>
    <w:rsid w:val="000211C7"/>
    <w:rsid w:val="000254E0"/>
    <w:rsid w:val="00026356"/>
    <w:rsid w:val="0003078F"/>
    <w:rsid w:val="00032ADA"/>
    <w:rsid w:val="00051640"/>
    <w:rsid w:val="000530FF"/>
    <w:rsid w:val="00055411"/>
    <w:rsid w:val="00072D78"/>
    <w:rsid w:val="00075D88"/>
    <w:rsid w:val="00081288"/>
    <w:rsid w:val="00091866"/>
    <w:rsid w:val="000A4414"/>
    <w:rsid w:val="000A767E"/>
    <w:rsid w:val="000B42AF"/>
    <w:rsid w:val="000D4BD4"/>
    <w:rsid w:val="000E5A0A"/>
    <w:rsid w:val="000F259F"/>
    <w:rsid w:val="0010079B"/>
    <w:rsid w:val="0011704A"/>
    <w:rsid w:val="00131984"/>
    <w:rsid w:val="00133BB2"/>
    <w:rsid w:val="00143C55"/>
    <w:rsid w:val="0015470B"/>
    <w:rsid w:val="00172D7B"/>
    <w:rsid w:val="00175245"/>
    <w:rsid w:val="001879FF"/>
    <w:rsid w:val="001931A0"/>
    <w:rsid w:val="00195BC6"/>
    <w:rsid w:val="001C0E7F"/>
    <w:rsid w:val="001D4718"/>
    <w:rsid w:val="001D502E"/>
    <w:rsid w:val="001F3955"/>
    <w:rsid w:val="00204E5C"/>
    <w:rsid w:val="0023267E"/>
    <w:rsid w:val="002364D7"/>
    <w:rsid w:val="002745FB"/>
    <w:rsid w:val="002763C5"/>
    <w:rsid w:val="0027767C"/>
    <w:rsid w:val="0029022B"/>
    <w:rsid w:val="0029115B"/>
    <w:rsid w:val="002C014F"/>
    <w:rsid w:val="002C5337"/>
    <w:rsid w:val="002D2FC2"/>
    <w:rsid w:val="00306E9A"/>
    <w:rsid w:val="00331639"/>
    <w:rsid w:val="0033772B"/>
    <w:rsid w:val="00353191"/>
    <w:rsid w:val="00356E97"/>
    <w:rsid w:val="0036144F"/>
    <w:rsid w:val="00363A51"/>
    <w:rsid w:val="0036794E"/>
    <w:rsid w:val="003B15AF"/>
    <w:rsid w:val="003B62AB"/>
    <w:rsid w:val="003D77A8"/>
    <w:rsid w:val="003F69C6"/>
    <w:rsid w:val="00414B08"/>
    <w:rsid w:val="00424B28"/>
    <w:rsid w:val="004270C5"/>
    <w:rsid w:val="00432A88"/>
    <w:rsid w:val="00437F12"/>
    <w:rsid w:val="00451653"/>
    <w:rsid w:val="00461743"/>
    <w:rsid w:val="004667A8"/>
    <w:rsid w:val="0047003A"/>
    <w:rsid w:val="004715A9"/>
    <w:rsid w:val="0047187A"/>
    <w:rsid w:val="00473B77"/>
    <w:rsid w:val="00485B3C"/>
    <w:rsid w:val="00490B76"/>
    <w:rsid w:val="004937B5"/>
    <w:rsid w:val="004D258A"/>
    <w:rsid w:val="004D6397"/>
    <w:rsid w:val="004D6A9F"/>
    <w:rsid w:val="004E0B11"/>
    <w:rsid w:val="00511F30"/>
    <w:rsid w:val="005205A5"/>
    <w:rsid w:val="00521551"/>
    <w:rsid w:val="0053252C"/>
    <w:rsid w:val="00532708"/>
    <w:rsid w:val="00544C50"/>
    <w:rsid w:val="00555E96"/>
    <w:rsid w:val="0059468E"/>
    <w:rsid w:val="005958CA"/>
    <w:rsid w:val="005A1FFE"/>
    <w:rsid w:val="005C33DD"/>
    <w:rsid w:val="005D19C5"/>
    <w:rsid w:val="005E109F"/>
    <w:rsid w:val="006064A3"/>
    <w:rsid w:val="00642D1A"/>
    <w:rsid w:val="006541B9"/>
    <w:rsid w:val="0066432B"/>
    <w:rsid w:val="00665A9A"/>
    <w:rsid w:val="00686436"/>
    <w:rsid w:val="006864B3"/>
    <w:rsid w:val="00695B8A"/>
    <w:rsid w:val="00695FCF"/>
    <w:rsid w:val="006A1D6B"/>
    <w:rsid w:val="006C280F"/>
    <w:rsid w:val="006D2BCF"/>
    <w:rsid w:val="006D2E04"/>
    <w:rsid w:val="006E272B"/>
    <w:rsid w:val="006E5EDA"/>
    <w:rsid w:val="00704C38"/>
    <w:rsid w:val="00711FC2"/>
    <w:rsid w:val="00714B1E"/>
    <w:rsid w:val="00725F6F"/>
    <w:rsid w:val="007270C0"/>
    <w:rsid w:val="00733400"/>
    <w:rsid w:val="00757198"/>
    <w:rsid w:val="007A455A"/>
    <w:rsid w:val="007C3034"/>
    <w:rsid w:val="007F638E"/>
    <w:rsid w:val="007F6FB3"/>
    <w:rsid w:val="008153DF"/>
    <w:rsid w:val="00817E80"/>
    <w:rsid w:val="00821306"/>
    <w:rsid w:val="008254B1"/>
    <w:rsid w:val="00825AD2"/>
    <w:rsid w:val="00841084"/>
    <w:rsid w:val="008430B8"/>
    <w:rsid w:val="00846D51"/>
    <w:rsid w:val="0084732D"/>
    <w:rsid w:val="0086779E"/>
    <w:rsid w:val="0089277E"/>
    <w:rsid w:val="008941A3"/>
    <w:rsid w:val="008B0962"/>
    <w:rsid w:val="008D50B0"/>
    <w:rsid w:val="00922F05"/>
    <w:rsid w:val="0093713E"/>
    <w:rsid w:val="00940B79"/>
    <w:rsid w:val="00941B8C"/>
    <w:rsid w:val="00942125"/>
    <w:rsid w:val="00946C0B"/>
    <w:rsid w:val="00972753"/>
    <w:rsid w:val="00990412"/>
    <w:rsid w:val="009C1D20"/>
    <w:rsid w:val="009E6223"/>
    <w:rsid w:val="00A111F3"/>
    <w:rsid w:val="00A25D5D"/>
    <w:rsid w:val="00A33A02"/>
    <w:rsid w:val="00A33CA5"/>
    <w:rsid w:val="00A432D3"/>
    <w:rsid w:val="00A46981"/>
    <w:rsid w:val="00A46C81"/>
    <w:rsid w:val="00A515EA"/>
    <w:rsid w:val="00A6561C"/>
    <w:rsid w:val="00A800EF"/>
    <w:rsid w:val="00A95805"/>
    <w:rsid w:val="00AC3C84"/>
    <w:rsid w:val="00AD4914"/>
    <w:rsid w:val="00AE3CEA"/>
    <w:rsid w:val="00AE5C33"/>
    <w:rsid w:val="00AF0BF8"/>
    <w:rsid w:val="00B10B07"/>
    <w:rsid w:val="00B11A53"/>
    <w:rsid w:val="00B4539B"/>
    <w:rsid w:val="00B51998"/>
    <w:rsid w:val="00B57C18"/>
    <w:rsid w:val="00B751B4"/>
    <w:rsid w:val="00B86033"/>
    <w:rsid w:val="00BC0CAB"/>
    <w:rsid w:val="00BC626E"/>
    <w:rsid w:val="00C00390"/>
    <w:rsid w:val="00C21537"/>
    <w:rsid w:val="00C30E43"/>
    <w:rsid w:val="00C32C23"/>
    <w:rsid w:val="00C81132"/>
    <w:rsid w:val="00C83481"/>
    <w:rsid w:val="00C9682B"/>
    <w:rsid w:val="00CB02BC"/>
    <w:rsid w:val="00CB6333"/>
    <w:rsid w:val="00D10B23"/>
    <w:rsid w:val="00D30DAA"/>
    <w:rsid w:val="00D430C1"/>
    <w:rsid w:val="00D90730"/>
    <w:rsid w:val="00DB2F7A"/>
    <w:rsid w:val="00DC78B8"/>
    <w:rsid w:val="00DD360D"/>
    <w:rsid w:val="00DE46BE"/>
    <w:rsid w:val="00DF7412"/>
    <w:rsid w:val="00E05266"/>
    <w:rsid w:val="00E10FE1"/>
    <w:rsid w:val="00E17C6C"/>
    <w:rsid w:val="00E53C96"/>
    <w:rsid w:val="00E651C0"/>
    <w:rsid w:val="00E651DB"/>
    <w:rsid w:val="00E86A1E"/>
    <w:rsid w:val="00E93649"/>
    <w:rsid w:val="00EB3E97"/>
    <w:rsid w:val="00EE0DCD"/>
    <w:rsid w:val="00EE0EA7"/>
    <w:rsid w:val="00F21C3D"/>
    <w:rsid w:val="00F31D84"/>
    <w:rsid w:val="00F50CB3"/>
    <w:rsid w:val="00F63517"/>
    <w:rsid w:val="00FA691B"/>
    <w:rsid w:val="00FB1AE7"/>
    <w:rsid w:val="00FC3F44"/>
    <w:rsid w:val="00FD6816"/>
    <w:rsid w:val="00FE4130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40373"/>
  <w15:docId w15:val="{C75A0D67-CA7B-4911-AC76-0E2E1212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3B77"/>
    <w:rPr>
      <w:sz w:val="24"/>
      <w:szCs w:val="24"/>
    </w:rPr>
  </w:style>
  <w:style w:type="paragraph" w:styleId="Heading2">
    <w:name w:val="heading 2"/>
    <w:basedOn w:val="Normal"/>
    <w:next w:val="Normal"/>
    <w:qFormat/>
    <w:rsid w:val="00BC0CA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rsid w:val="00BC0CAB"/>
    <w:pPr>
      <w:jc w:val="both"/>
    </w:pPr>
    <w:rPr>
      <w:i w:val="0"/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1C0E7F"/>
    <w:pPr>
      <w:tabs>
        <w:tab w:val="right" w:leader="dot" w:pos="8993"/>
      </w:tabs>
      <w:spacing w:line="360" w:lineRule="auto"/>
      <w:ind w:left="238"/>
    </w:pPr>
    <w:rPr>
      <w:b/>
      <w:i/>
    </w:rPr>
  </w:style>
  <w:style w:type="table" w:styleId="TableGrid">
    <w:name w:val="Table Grid"/>
    <w:basedOn w:val="TableNormal"/>
    <w:rsid w:val="0047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473B77"/>
    <w:pPr>
      <w:overflowPunct w:val="0"/>
      <w:autoSpaceDE w:val="0"/>
      <w:autoSpaceDN w:val="0"/>
      <w:adjustRightInd w:val="0"/>
      <w:spacing w:before="240" w:line="360" w:lineRule="atLeast"/>
      <w:textAlignment w:val="baseline"/>
    </w:pPr>
    <w:rPr>
      <w:rFonts w:ascii="New York" w:hAnsi="New York"/>
      <w:sz w:val="26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4108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50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C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33DD"/>
    <w:pPr>
      <w:spacing w:before="100" w:beforeAutospacing="1" w:after="100" w:afterAutospacing="1"/>
    </w:pPr>
  </w:style>
  <w:style w:type="paragraph" w:customStyle="1" w:styleId="CUNumber3">
    <w:name w:val="CU_Number3"/>
    <w:basedOn w:val="Normal"/>
    <w:rsid w:val="00C00390"/>
    <w:pPr>
      <w:numPr>
        <w:ilvl w:val="2"/>
        <w:numId w:val="23"/>
      </w:numPr>
      <w:tabs>
        <w:tab w:val="num" w:pos="1928"/>
      </w:tabs>
      <w:spacing w:after="240"/>
      <w:ind w:left="1928" w:hanging="964"/>
      <w:outlineLvl w:val="2"/>
    </w:pPr>
    <w:rPr>
      <w:rFonts w:ascii="Arial" w:eastAsia="Batang" w:hAnsi="Arial"/>
      <w:sz w:val="20"/>
      <w:szCs w:val="20"/>
      <w:lang w:eastAsia="en-US"/>
    </w:rPr>
  </w:style>
  <w:style w:type="numbering" w:customStyle="1" w:styleId="FCListNo">
    <w:name w:val="FCListNo"/>
    <w:rsid w:val="00C00390"/>
    <w:pPr>
      <w:numPr>
        <w:numId w:val="21"/>
      </w:numPr>
    </w:pPr>
  </w:style>
  <w:style w:type="paragraph" w:styleId="Header">
    <w:name w:val="header"/>
    <w:basedOn w:val="Normal"/>
    <w:link w:val="HeaderChar"/>
    <w:unhideWhenUsed/>
    <w:rsid w:val="001170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170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0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law.gov.au/Details/F2008C00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‘Attachment 26’</vt:lpstr>
    </vt:vector>
  </TitlesOfParts>
  <Company> Watchdog Compliance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‘Attachment 26’</dc:title>
  <dc:subject/>
  <dc:creator>Michelle Johnson</dc:creator>
  <cp:keywords/>
  <dc:description/>
  <cp:lastModifiedBy>David Johnson</cp:lastModifiedBy>
  <cp:revision>74</cp:revision>
  <cp:lastPrinted>2016-12-18T14:20:00Z</cp:lastPrinted>
  <dcterms:created xsi:type="dcterms:W3CDTF">2012-12-18T07:53:00Z</dcterms:created>
  <dcterms:modified xsi:type="dcterms:W3CDTF">2018-10-24T09:53:00Z</dcterms:modified>
</cp:coreProperties>
</file>